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3349" w14:textId="77777777" w:rsidR="00CF700B" w:rsidRPr="00CF700B" w:rsidRDefault="00CF700B" w:rsidP="00CF700B">
      <w:p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b/>
          <w:color w:val="347186"/>
          <w:sz w:val="28"/>
          <w:lang w:eastAsia="en-GB"/>
        </w:rPr>
      </w:pPr>
      <w:r w:rsidRPr="00CF700B">
        <w:rPr>
          <w:rFonts w:ascii="Arial" w:eastAsia="Times New Roman" w:hAnsi="Arial" w:cs="Arial"/>
          <w:b/>
          <w:color w:val="347186"/>
          <w:sz w:val="28"/>
          <w:lang w:eastAsia="en-GB"/>
        </w:rPr>
        <w:t>Breaches</w:t>
      </w:r>
    </w:p>
    <w:p w14:paraId="120B4633" w14:textId="77777777" w:rsidR="00CF700B" w:rsidRDefault="00CF700B" w:rsidP="00CF700B">
      <w:p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Schools may be required to report a data breach, if the breach is likely to result in a risk to the rights and freedoms of </w:t>
      </w:r>
      <w:r w:rsidRPr="00CF700B">
        <w:rPr>
          <w:rFonts w:ascii="Arial" w:eastAsia="Times New Roman" w:hAnsi="Arial" w:cs="Arial"/>
          <w:color w:val="000000"/>
          <w:lang w:eastAsia="en-GB"/>
        </w:rPr>
        <w:t xml:space="preserve">to the relevant supervisory authority and, if necessary, the individuals affected. 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5590BB5D" w14:textId="77777777" w:rsidR="00CF700B" w:rsidRDefault="00CF700B" w:rsidP="00CF700B">
      <w:p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A breach notification </w:t>
      </w:r>
      <w:r w:rsidR="00D22605">
        <w:rPr>
          <w:rFonts w:ascii="Arial" w:eastAsia="Times New Roman" w:hAnsi="Arial" w:cs="Arial"/>
          <w:color w:val="000000"/>
          <w:lang w:eastAsia="en-GB"/>
        </w:rPr>
        <w:t>must contain</w:t>
      </w:r>
      <w:r>
        <w:rPr>
          <w:rFonts w:ascii="Arial" w:eastAsia="Times New Roman" w:hAnsi="Arial" w:cs="Arial"/>
          <w:color w:val="000000"/>
          <w:lang w:eastAsia="en-GB"/>
        </w:rPr>
        <w:t>:</w:t>
      </w:r>
    </w:p>
    <w:p w14:paraId="2C70B867" w14:textId="77777777" w:rsidR="00CF700B" w:rsidRDefault="00CF700B" w:rsidP="00CF700B">
      <w:pPr>
        <w:pStyle w:val="ListParagraph"/>
        <w:numPr>
          <w:ilvl w:val="0"/>
          <w:numId w:val="42"/>
        </w:numPr>
        <w:tabs>
          <w:tab w:val="left" w:pos="6825"/>
        </w:tabs>
        <w:suppressAutoHyphens w:val="0"/>
        <w:autoSpaceDN/>
        <w:spacing w:after="20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The nature of the personal data breach, including the categories and approximate number of individuals, as well as personal data records concerned.</w:t>
      </w:r>
    </w:p>
    <w:p w14:paraId="7B5F042E" w14:textId="77777777" w:rsidR="00CF700B" w:rsidRDefault="00CF700B" w:rsidP="00CF700B">
      <w:pPr>
        <w:pStyle w:val="ListParagraph"/>
        <w:numPr>
          <w:ilvl w:val="0"/>
          <w:numId w:val="42"/>
        </w:numPr>
        <w:tabs>
          <w:tab w:val="left" w:pos="6825"/>
        </w:tabs>
        <w:suppressAutoHyphens w:val="0"/>
        <w:autoSpaceDN/>
        <w:spacing w:after="20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The name and contact details of the DPO or other contact point where more information can be obtained.</w:t>
      </w:r>
    </w:p>
    <w:p w14:paraId="073064D5" w14:textId="77777777" w:rsidR="00CF700B" w:rsidRDefault="00CF700B" w:rsidP="00CF700B">
      <w:pPr>
        <w:pStyle w:val="ListParagraph"/>
        <w:numPr>
          <w:ilvl w:val="0"/>
          <w:numId w:val="42"/>
        </w:numPr>
        <w:tabs>
          <w:tab w:val="left" w:pos="6825"/>
        </w:tabs>
        <w:suppressAutoHyphens w:val="0"/>
        <w:autoSpaceDN/>
        <w:spacing w:after="20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 description of the likely consequences.</w:t>
      </w:r>
    </w:p>
    <w:p w14:paraId="6698E644" w14:textId="77777777" w:rsidR="00CF700B" w:rsidRDefault="00CF700B" w:rsidP="00CF700B">
      <w:pPr>
        <w:pStyle w:val="ListParagraph"/>
        <w:numPr>
          <w:ilvl w:val="0"/>
          <w:numId w:val="42"/>
        </w:numPr>
        <w:tabs>
          <w:tab w:val="left" w:pos="6825"/>
        </w:tabs>
        <w:suppressAutoHyphens w:val="0"/>
        <w:autoSpaceDN/>
        <w:spacing w:after="20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 description of the measures taken, or proposed to be taken, to deal with the breach.</w:t>
      </w:r>
    </w:p>
    <w:p w14:paraId="12C6A2F6" w14:textId="77777777" w:rsidR="00655896" w:rsidRDefault="00CF700B" w:rsidP="00CF700B">
      <w:pPr>
        <w:suppressAutoHyphens w:val="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</w:rPr>
        <w:t>The relevant authority, e.g. the ICO, must be notified of the breach with 72 hours of the school becoming aware of it.</w:t>
      </w:r>
    </w:p>
    <w:p w14:paraId="69666C30" w14:textId="77777777" w:rsidR="00DF4108" w:rsidRPr="00DF4108" w:rsidRDefault="00DF4108" w:rsidP="00DF4108">
      <w:pPr>
        <w:suppressAutoHyphens w:val="0"/>
        <w:jc w:val="both"/>
        <w:rPr>
          <w:rFonts w:ascii="Arial" w:eastAsia="Times New Roman" w:hAnsi="Arial" w:cs="Arial"/>
          <w:b/>
          <w:color w:val="347186"/>
          <w:sz w:val="28"/>
          <w:lang w:eastAsia="en-GB"/>
        </w:rPr>
      </w:pPr>
      <w:r w:rsidRPr="00DF4108">
        <w:rPr>
          <w:rFonts w:ascii="Arial" w:eastAsia="Times New Roman" w:hAnsi="Arial" w:cs="Arial"/>
          <w:b/>
          <w:color w:val="347186"/>
          <w:sz w:val="28"/>
          <w:lang w:eastAsia="en-GB"/>
        </w:rPr>
        <w:t>FAQs</w:t>
      </w:r>
    </w:p>
    <w:p w14:paraId="19516FD1" w14:textId="77777777" w:rsidR="00D66072" w:rsidRDefault="00D66072" w:rsidP="00D66072">
      <w:pPr>
        <w:suppressAutoHyphens w:val="0"/>
        <w:jc w:val="both"/>
        <w:rPr>
          <w:rFonts w:ascii="Arial" w:eastAsia="Times New Roman" w:hAnsi="Arial" w:cs="Arial"/>
          <w:b/>
          <w:color w:val="347186"/>
          <w:lang w:eastAsia="en-GB"/>
        </w:rPr>
      </w:pPr>
      <w:r w:rsidRPr="00DF4108">
        <w:rPr>
          <w:rFonts w:ascii="Arial" w:eastAsia="Times New Roman" w:hAnsi="Arial" w:cs="Arial"/>
          <w:b/>
          <w:color w:val="347186"/>
          <w:lang w:eastAsia="en-GB"/>
        </w:rPr>
        <w:t>Are images of children considered to be personal data under the GDPR?</w:t>
      </w:r>
    </w:p>
    <w:p w14:paraId="643B5A7F" w14:textId="77777777" w:rsidR="00D66072" w:rsidRPr="00D66072" w:rsidRDefault="00D66072" w:rsidP="00810C79">
      <w:pPr>
        <w:suppressAutoHyphens w:val="0"/>
        <w:spacing w:after="120"/>
        <w:jc w:val="both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b/>
          <w:noProof/>
          <w:color w:val="347186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2F06469C" wp14:editId="1ECF9B07">
            <wp:simplePos x="0" y="0"/>
            <wp:positionH relativeFrom="column">
              <wp:posOffset>3190240</wp:posOffset>
            </wp:positionH>
            <wp:positionV relativeFrom="paragraph">
              <wp:posOffset>224790</wp:posOffset>
            </wp:positionV>
            <wp:extent cx="276225" cy="27622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00px-Green_tick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108">
        <w:rPr>
          <w:rFonts w:ascii="Arial" w:eastAsia="Times New Roman" w:hAnsi="Arial" w:cs="Arial"/>
          <w:color w:val="auto"/>
          <w:lang w:eastAsia="en-GB"/>
        </w:rPr>
        <w:t xml:space="preserve">An image of a child is considered to be personal data under the GDPR; meaning that, where the child is under the age of 13, the </w:t>
      </w:r>
      <w:r w:rsidRPr="00DF4108">
        <w:rPr>
          <w:rFonts w:ascii="Arial" w:eastAsia="Times New Roman" w:hAnsi="Arial" w:cs="Arial"/>
          <w:color w:val="auto"/>
          <w:lang w:eastAsia="en-GB"/>
        </w:rPr>
        <w:t>consent of the concerned individual’s parent is required before their data can be processed.</w:t>
      </w:r>
      <w:r>
        <w:rPr>
          <w:rFonts w:ascii="Arial" w:eastAsia="Times New Roman" w:hAnsi="Arial" w:cs="Arial"/>
          <w:color w:val="auto"/>
          <w:lang w:eastAsia="en-GB"/>
        </w:rPr>
        <w:t xml:space="preserve"> </w:t>
      </w:r>
    </w:p>
    <w:p w14:paraId="540BB578" w14:textId="77777777" w:rsidR="00DF4108" w:rsidRDefault="00DF4108" w:rsidP="00DF4108">
      <w:pPr>
        <w:suppressAutoHyphens w:val="0"/>
        <w:jc w:val="both"/>
        <w:rPr>
          <w:rFonts w:ascii="Arial" w:eastAsia="Times New Roman" w:hAnsi="Arial" w:cs="Arial"/>
          <w:b/>
          <w:color w:val="347186"/>
          <w:lang w:eastAsia="en-GB"/>
        </w:rPr>
      </w:pPr>
      <w:r w:rsidRPr="00DF4108">
        <w:rPr>
          <w:rFonts w:ascii="Arial" w:eastAsia="Times New Roman" w:hAnsi="Arial" w:cs="Arial"/>
          <w:b/>
          <w:color w:val="347186"/>
          <w:lang w:eastAsia="en-GB"/>
        </w:rPr>
        <w:t>Under the GDPR, how long should we keep permission slips for school trips and visits?</w:t>
      </w:r>
    </w:p>
    <w:p w14:paraId="603D95AF" w14:textId="77777777" w:rsidR="00DF4108" w:rsidRDefault="00D66072" w:rsidP="00DF4108">
      <w:pPr>
        <w:suppressAutoHyphens w:val="0"/>
        <w:jc w:val="both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noProof/>
          <w:color w:val="000000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D7B128B" wp14:editId="15831E6A">
            <wp:simplePos x="0" y="0"/>
            <wp:positionH relativeFrom="column">
              <wp:posOffset>1962150</wp:posOffset>
            </wp:positionH>
            <wp:positionV relativeFrom="paragraph">
              <wp:posOffset>1197610</wp:posOffset>
            </wp:positionV>
            <wp:extent cx="723900" cy="7239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108">
        <w:rPr>
          <w:rFonts w:ascii="Arial" w:eastAsia="Times New Roman" w:hAnsi="Arial" w:cs="Arial"/>
          <w:color w:val="auto"/>
          <w:lang w:eastAsia="en-GB"/>
        </w:rPr>
        <w:t>P</w:t>
      </w:r>
      <w:r w:rsidR="00DF4108" w:rsidRPr="00DF4108">
        <w:rPr>
          <w:rFonts w:ascii="Arial" w:eastAsia="Times New Roman" w:hAnsi="Arial" w:cs="Arial"/>
          <w:color w:val="auto"/>
          <w:lang w:eastAsia="en-GB"/>
        </w:rPr>
        <w:t>arental consent forms for school trips and visits where no major incident occurred should be kept until the conclusion of the trip; where a major incident did occur, the relevant permission slips should be kept until the pupil is 25-years-old (as part of their record of education).</w:t>
      </w:r>
      <w:r w:rsidR="00DF4108">
        <w:rPr>
          <w:rFonts w:ascii="Arial" w:eastAsia="Times New Roman" w:hAnsi="Arial" w:cs="Arial"/>
          <w:color w:val="auto"/>
          <w:lang w:eastAsia="en-GB"/>
        </w:rPr>
        <w:t xml:space="preserve"> </w:t>
      </w:r>
    </w:p>
    <w:p w14:paraId="35A4334A" w14:textId="77777777" w:rsidR="00DF4108" w:rsidRDefault="00DF4108" w:rsidP="00DF4108">
      <w:pPr>
        <w:suppressAutoHyphens w:val="0"/>
        <w:jc w:val="both"/>
        <w:rPr>
          <w:rFonts w:ascii="Arial" w:eastAsia="Times New Roman" w:hAnsi="Arial" w:cs="Arial"/>
          <w:b/>
          <w:color w:val="347186"/>
          <w:lang w:eastAsia="en-GB"/>
        </w:rPr>
      </w:pPr>
      <w:r w:rsidRPr="00DF4108">
        <w:rPr>
          <w:rFonts w:ascii="Arial" w:eastAsia="Times New Roman" w:hAnsi="Arial" w:cs="Arial"/>
          <w:b/>
          <w:color w:val="347186"/>
          <w:lang w:eastAsia="en-GB"/>
        </w:rPr>
        <w:t>In line with the GDPR, can schools display images of past pupils?</w:t>
      </w:r>
    </w:p>
    <w:p w14:paraId="77507A1E" w14:textId="77777777" w:rsidR="00DF4108" w:rsidRPr="00DF4108" w:rsidRDefault="00DF4108" w:rsidP="00DF4108">
      <w:pPr>
        <w:suppressAutoHyphens w:val="0"/>
        <w:jc w:val="both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S</w:t>
      </w:r>
      <w:r w:rsidRPr="00DF4108">
        <w:rPr>
          <w:rFonts w:ascii="Arial" w:eastAsia="Times New Roman" w:hAnsi="Arial" w:cs="Arial"/>
          <w:color w:val="auto"/>
          <w:lang w:eastAsia="en-GB"/>
        </w:rPr>
        <w:t>chools are able to use pupil photographs as part of a display if they have a lawful basis for doing so, such as the individual’s consent; however, depending on the purpose of use consented to prior to the photograph being taken, the individual’s consent may need to be refreshed.</w:t>
      </w:r>
    </w:p>
    <w:p w14:paraId="6569C1BD" w14:textId="77777777" w:rsidR="00DF4108" w:rsidRPr="00DF4108" w:rsidRDefault="00D66072" w:rsidP="00DF4108">
      <w:pPr>
        <w:suppressAutoHyphens w:val="0"/>
        <w:jc w:val="both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The ICO</w:t>
      </w:r>
      <w:r w:rsidR="00DF4108" w:rsidRPr="00DF4108">
        <w:rPr>
          <w:rFonts w:ascii="Arial" w:eastAsia="Times New Roman" w:hAnsi="Arial" w:cs="Arial"/>
          <w:color w:val="auto"/>
          <w:lang w:eastAsia="en-GB"/>
        </w:rPr>
        <w:t xml:space="preserve"> </w:t>
      </w:r>
      <w:r w:rsidR="00744733">
        <w:rPr>
          <w:rFonts w:ascii="Arial" w:eastAsia="Times New Roman" w:hAnsi="Arial" w:cs="Arial"/>
          <w:color w:val="auto"/>
          <w:lang w:eastAsia="en-GB"/>
        </w:rPr>
        <w:t>state</w:t>
      </w:r>
      <w:r w:rsidR="00744733" w:rsidRPr="00DF4108">
        <w:rPr>
          <w:rFonts w:ascii="Arial" w:eastAsia="Times New Roman" w:hAnsi="Arial" w:cs="Arial"/>
          <w:color w:val="auto"/>
          <w:lang w:eastAsia="en-GB"/>
        </w:rPr>
        <w:t xml:space="preserve"> </w:t>
      </w:r>
      <w:r w:rsidR="00DF4108" w:rsidRPr="00DF4108">
        <w:rPr>
          <w:rFonts w:ascii="Arial" w:eastAsia="Times New Roman" w:hAnsi="Arial" w:cs="Arial"/>
          <w:color w:val="auto"/>
          <w:lang w:eastAsia="en-GB"/>
        </w:rPr>
        <w:t>that “the consent gained at the time of the photo being taken will have been for a different purpose; therefore, in line with fair processing, the school would need to inform the individual of their plans to use the image and gain consent in relation to this new purpose”.</w:t>
      </w:r>
      <w:r>
        <w:rPr>
          <w:rFonts w:ascii="Arial" w:eastAsia="Times New Roman" w:hAnsi="Arial" w:cs="Arial"/>
          <w:color w:val="auto"/>
          <w:lang w:eastAsia="en-GB"/>
        </w:rPr>
        <w:t xml:space="preserve"> </w:t>
      </w:r>
    </w:p>
    <w:p w14:paraId="253A5EC8" w14:textId="77777777" w:rsidR="00CF700B" w:rsidRPr="00CF2021" w:rsidRDefault="007D2657" w:rsidP="00261249">
      <w:pPr>
        <w:suppressAutoHyphens w:val="0"/>
        <w:jc w:val="both"/>
        <w:rPr>
          <w:rFonts w:ascii="Arial" w:eastAsia="Times New Roman" w:hAnsi="Arial" w:cs="Arial"/>
          <w:b/>
          <w:color w:val="347186"/>
          <w:lang w:eastAsia="en-GB"/>
        </w:rPr>
      </w:pPr>
      <w:r>
        <w:rPr>
          <w:rFonts w:ascii="Arial" w:eastAsia="Times New Roman" w:hAnsi="Arial" w:cs="Arial"/>
          <w:b/>
          <w:noProof/>
          <w:color w:val="34718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23279A9" wp14:editId="4572283A">
            <wp:simplePos x="0" y="0"/>
            <wp:positionH relativeFrom="column">
              <wp:posOffset>2066925</wp:posOffset>
            </wp:positionH>
            <wp:positionV relativeFrom="paragraph">
              <wp:posOffset>45720</wp:posOffset>
            </wp:positionV>
            <wp:extent cx="276225" cy="27622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00px-Green_tick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7A2">
        <w:rPr>
          <w:rFonts w:ascii="Arial" w:eastAsia="Times New Roman" w:hAnsi="Arial" w:cs="Arial"/>
          <w:b/>
          <w:noProof/>
          <w:color w:val="347186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477E1F1F" wp14:editId="4C7CD13C">
            <wp:simplePos x="0" y="0"/>
            <wp:positionH relativeFrom="column">
              <wp:posOffset>838200</wp:posOffset>
            </wp:positionH>
            <wp:positionV relativeFrom="paragraph">
              <wp:posOffset>5080</wp:posOffset>
            </wp:positionV>
            <wp:extent cx="276225" cy="2762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00px-Green_tick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2E071" w14:textId="77777777" w:rsidR="004367CB" w:rsidRDefault="00143ECF" w:rsidP="004367C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6"/>
          <w:szCs w:val="36"/>
          <w:lang w:eastAsia="en-GB"/>
        </w:rPr>
      </w:pPr>
      <w:r w:rsidRPr="004367CB">
        <w:rPr>
          <w:rFonts w:ascii="Arial" w:eastAsia="Times New Roman" w:hAnsi="Arial" w:cs="Arial"/>
          <w:b/>
          <w:color w:val="7030A0"/>
          <w:sz w:val="36"/>
          <w:szCs w:val="36"/>
          <w:lang w:eastAsia="en-GB"/>
        </w:rPr>
        <w:t xml:space="preserve">The General Data </w:t>
      </w:r>
      <w:r w:rsidRPr="004367CB">
        <w:rPr>
          <w:rFonts w:ascii="Arial" w:eastAsia="Times New Roman" w:hAnsi="Arial" w:cs="Arial"/>
          <w:b/>
          <w:color w:val="7030A0"/>
          <w:sz w:val="36"/>
          <w:szCs w:val="36"/>
          <w:lang w:eastAsia="en-GB"/>
        </w:rPr>
        <w:br/>
        <w:t xml:space="preserve">Protection </w:t>
      </w:r>
      <w:r w:rsidRPr="004367CB">
        <w:rPr>
          <w:rFonts w:ascii="Arial" w:eastAsia="Times New Roman" w:hAnsi="Arial" w:cs="Arial"/>
          <w:b/>
          <w:color w:val="7030A0"/>
          <w:sz w:val="36"/>
          <w:szCs w:val="36"/>
          <w:lang w:eastAsia="en-GB"/>
        </w:rPr>
        <w:br/>
        <w:t xml:space="preserve">Regulations (GDPR) </w:t>
      </w:r>
    </w:p>
    <w:p w14:paraId="45793B52" w14:textId="50B1EC42" w:rsidR="004367CB" w:rsidRDefault="0002415C" w:rsidP="004367C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7030A0"/>
          <w:sz w:val="36"/>
          <w:szCs w:val="36"/>
          <w:lang w:eastAsia="en-GB"/>
        </w:rPr>
        <w:t>S</w:t>
      </w:r>
      <w:r w:rsidR="00143ECF" w:rsidRPr="004367CB">
        <w:rPr>
          <w:rFonts w:ascii="Arial" w:eastAsia="Times New Roman" w:hAnsi="Arial" w:cs="Arial"/>
          <w:b/>
          <w:color w:val="7030A0"/>
          <w:sz w:val="36"/>
          <w:szCs w:val="36"/>
          <w:lang w:eastAsia="en-GB"/>
        </w:rPr>
        <w:t xml:space="preserve">taff </w:t>
      </w:r>
    </w:p>
    <w:p w14:paraId="56E5A4AF" w14:textId="77777777" w:rsidR="00FC782B" w:rsidRPr="004367CB" w:rsidRDefault="00143ECF" w:rsidP="004367C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6"/>
          <w:szCs w:val="36"/>
          <w:lang w:eastAsia="en-GB"/>
        </w:rPr>
      </w:pPr>
      <w:r w:rsidRPr="004367CB">
        <w:rPr>
          <w:rFonts w:ascii="Arial" w:eastAsia="Times New Roman" w:hAnsi="Arial" w:cs="Arial"/>
          <w:b/>
          <w:color w:val="7030A0"/>
          <w:sz w:val="36"/>
          <w:szCs w:val="36"/>
          <w:lang w:eastAsia="en-GB"/>
        </w:rPr>
        <w:t>training leaflet</w:t>
      </w:r>
    </w:p>
    <w:p w14:paraId="42EBBCFE" w14:textId="77777777" w:rsidR="007D2657" w:rsidRDefault="007D2657" w:rsidP="00FC782B">
      <w:pPr>
        <w:suppressAutoHyphens w:val="0"/>
        <w:jc w:val="center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noProof/>
          <w:color w:val="000000"/>
          <w:lang w:val="en-GB" w:eastAsia="en-GB"/>
        </w:rPr>
        <w:drawing>
          <wp:anchor distT="0" distB="0" distL="114300" distR="114300" simplePos="0" relativeHeight="251655168" behindDoc="0" locked="0" layoutInCell="1" allowOverlap="1" wp14:anchorId="6B73D6FE" wp14:editId="560BB333">
            <wp:simplePos x="0" y="0"/>
            <wp:positionH relativeFrom="column">
              <wp:posOffset>742950</wp:posOffset>
            </wp:positionH>
            <wp:positionV relativeFrom="paragraph">
              <wp:posOffset>72390</wp:posOffset>
            </wp:positionV>
            <wp:extent cx="1419860" cy="104775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83611573_3f2b84a4b5_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CB1">
        <w:rPr>
          <w:rFonts w:ascii="Arial" w:eastAsia="Times New Roman" w:hAnsi="Arial" w:cs="Arial"/>
          <w:color w:val="auto"/>
          <w:lang w:eastAsia="en-GB"/>
        </w:rPr>
        <w:br/>
      </w:r>
    </w:p>
    <w:p w14:paraId="68BE39EF" w14:textId="77777777" w:rsidR="007D2657" w:rsidRDefault="007D2657" w:rsidP="00FC782B">
      <w:pPr>
        <w:suppressAutoHyphens w:val="0"/>
        <w:jc w:val="center"/>
        <w:rPr>
          <w:rFonts w:ascii="Arial" w:eastAsia="Times New Roman" w:hAnsi="Arial" w:cs="Arial"/>
          <w:color w:val="auto"/>
          <w:lang w:eastAsia="en-GB"/>
        </w:rPr>
      </w:pPr>
    </w:p>
    <w:p w14:paraId="64C1619C" w14:textId="77777777" w:rsidR="007D2657" w:rsidRDefault="007D2657" w:rsidP="00FC782B">
      <w:pPr>
        <w:suppressAutoHyphens w:val="0"/>
        <w:jc w:val="center"/>
        <w:rPr>
          <w:rFonts w:ascii="Arial" w:eastAsia="Times New Roman" w:hAnsi="Arial" w:cs="Arial"/>
          <w:color w:val="auto"/>
          <w:lang w:eastAsia="en-GB"/>
        </w:rPr>
      </w:pPr>
    </w:p>
    <w:p w14:paraId="69CA8B11" w14:textId="77777777" w:rsidR="007D2657" w:rsidRDefault="007D2657" w:rsidP="00FC782B">
      <w:pPr>
        <w:suppressAutoHyphens w:val="0"/>
        <w:jc w:val="center"/>
        <w:rPr>
          <w:rFonts w:ascii="Arial" w:eastAsia="Times New Roman" w:hAnsi="Arial" w:cs="Arial"/>
          <w:color w:val="auto"/>
          <w:lang w:eastAsia="en-GB"/>
        </w:rPr>
      </w:pPr>
    </w:p>
    <w:p w14:paraId="1A45EC83" w14:textId="77777777" w:rsidR="003E697D" w:rsidRPr="00FC782B" w:rsidRDefault="00143ECF" w:rsidP="00FC782B">
      <w:pPr>
        <w:suppressAutoHyphens w:val="0"/>
        <w:jc w:val="center"/>
        <w:rPr>
          <w:rFonts w:ascii="Arial" w:eastAsia="Times New Roman" w:hAnsi="Arial" w:cs="Arial"/>
          <w:b/>
          <w:color w:val="347186"/>
          <w:sz w:val="40"/>
          <w:szCs w:val="28"/>
          <w:lang w:eastAsia="en-GB"/>
        </w:rPr>
      </w:pPr>
      <w:r w:rsidRPr="00143ECF">
        <w:rPr>
          <w:rFonts w:ascii="Arial" w:eastAsia="Times New Roman" w:hAnsi="Arial" w:cs="Arial"/>
          <w:color w:val="auto"/>
          <w:lang w:eastAsia="en-GB"/>
        </w:rPr>
        <w:t>This leaflet is an introduction to the GDPR and includes a summary on the following:</w:t>
      </w:r>
    </w:p>
    <w:p w14:paraId="078F0F32" w14:textId="77777777" w:rsidR="00143ECF" w:rsidRPr="00143ECF" w:rsidRDefault="00143ECF" w:rsidP="00143ECF">
      <w:pPr>
        <w:pStyle w:val="ListParagraph"/>
        <w:numPr>
          <w:ilvl w:val="0"/>
          <w:numId w:val="37"/>
        </w:numPr>
        <w:suppressAutoHyphens w:val="0"/>
        <w:spacing w:after="0"/>
        <w:ind w:left="714" w:hanging="357"/>
        <w:rPr>
          <w:rFonts w:ascii="Arial" w:eastAsia="Times New Roman" w:hAnsi="Arial" w:cs="Arial"/>
          <w:color w:val="347186"/>
          <w:lang w:eastAsia="en-GB"/>
        </w:rPr>
      </w:pPr>
      <w:r w:rsidRPr="00143ECF">
        <w:rPr>
          <w:rFonts w:ascii="Arial" w:eastAsia="Times New Roman" w:hAnsi="Arial" w:cs="Arial"/>
          <w:color w:val="347186"/>
          <w:lang w:eastAsia="en-GB"/>
        </w:rPr>
        <w:t>What the GDPR is</w:t>
      </w:r>
    </w:p>
    <w:p w14:paraId="1646AE15" w14:textId="77777777" w:rsidR="00143ECF" w:rsidRPr="00143ECF" w:rsidRDefault="00143ECF" w:rsidP="00143ECF">
      <w:pPr>
        <w:pStyle w:val="ListParagraph"/>
        <w:numPr>
          <w:ilvl w:val="0"/>
          <w:numId w:val="37"/>
        </w:numPr>
        <w:suppressAutoHyphens w:val="0"/>
        <w:spacing w:after="0"/>
        <w:ind w:left="714" w:hanging="357"/>
        <w:rPr>
          <w:rFonts w:ascii="Arial" w:eastAsia="Times New Roman" w:hAnsi="Arial" w:cs="Arial"/>
          <w:color w:val="347186"/>
          <w:lang w:eastAsia="en-GB"/>
        </w:rPr>
      </w:pPr>
      <w:r w:rsidRPr="00143ECF">
        <w:rPr>
          <w:rFonts w:ascii="Arial" w:eastAsia="Times New Roman" w:hAnsi="Arial" w:cs="Arial"/>
          <w:color w:val="347186"/>
          <w:lang w:eastAsia="en-GB"/>
        </w:rPr>
        <w:t xml:space="preserve">Consent </w:t>
      </w:r>
    </w:p>
    <w:p w14:paraId="309128F5" w14:textId="77777777" w:rsidR="00143ECF" w:rsidRPr="00143ECF" w:rsidRDefault="00143ECF" w:rsidP="00143ECF">
      <w:pPr>
        <w:pStyle w:val="ListParagraph"/>
        <w:numPr>
          <w:ilvl w:val="0"/>
          <w:numId w:val="37"/>
        </w:numPr>
        <w:suppressAutoHyphens w:val="0"/>
        <w:spacing w:after="0"/>
        <w:ind w:left="714" w:hanging="357"/>
        <w:rPr>
          <w:rFonts w:ascii="Arial" w:eastAsia="Times New Roman" w:hAnsi="Arial" w:cs="Arial"/>
          <w:color w:val="347186"/>
          <w:lang w:eastAsia="en-GB"/>
        </w:rPr>
      </w:pPr>
      <w:r w:rsidRPr="00143ECF">
        <w:rPr>
          <w:rFonts w:ascii="Arial" w:eastAsia="Times New Roman" w:hAnsi="Arial" w:cs="Arial"/>
          <w:color w:val="347186"/>
          <w:lang w:eastAsia="en-GB"/>
        </w:rPr>
        <w:t xml:space="preserve">Individuals’ rights </w:t>
      </w:r>
    </w:p>
    <w:p w14:paraId="4BDD03DD" w14:textId="77777777" w:rsidR="00143ECF" w:rsidRPr="00143ECF" w:rsidRDefault="00143ECF" w:rsidP="00143ECF">
      <w:pPr>
        <w:pStyle w:val="ListParagraph"/>
        <w:numPr>
          <w:ilvl w:val="0"/>
          <w:numId w:val="37"/>
        </w:numPr>
        <w:suppressAutoHyphens w:val="0"/>
        <w:spacing w:after="0"/>
        <w:ind w:left="714" w:hanging="357"/>
        <w:rPr>
          <w:rFonts w:ascii="Arial" w:eastAsia="Times New Roman" w:hAnsi="Arial" w:cs="Arial"/>
          <w:color w:val="347186"/>
          <w:lang w:eastAsia="en-GB"/>
        </w:rPr>
      </w:pPr>
      <w:r w:rsidRPr="00143ECF">
        <w:rPr>
          <w:rFonts w:ascii="Arial" w:eastAsia="Times New Roman" w:hAnsi="Arial" w:cs="Arial"/>
          <w:color w:val="347186"/>
          <w:lang w:eastAsia="en-GB"/>
        </w:rPr>
        <w:t xml:space="preserve">Pupils’ data and children </w:t>
      </w:r>
    </w:p>
    <w:p w14:paraId="78EA0C59" w14:textId="77777777" w:rsidR="00143ECF" w:rsidRPr="00143ECF" w:rsidRDefault="00143ECF" w:rsidP="00143ECF">
      <w:pPr>
        <w:pStyle w:val="ListParagraph"/>
        <w:numPr>
          <w:ilvl w:val="0"/>
          <w:numId w:val="37"/>
        </w:numPr>
        <w:suppressAutoHyphens w:val="0"/>
        <w:spacing w:after="0"/>
        <w:ind w:left="714" w:hanging="357"/>
        <w:rPr>
          <w:rFonts w:ascii="Arial" w:eastAsia="Times New Roman" w:hAnsi="Arial" w:cs="Arial"/>
          <w:color w:val="347186"/>
          <w:lang w:eastAsia="en-GB"/>
        </w:rPr>
      </w:pPr>
      <w:r w:rsidRPr="00143ECF">
        <w:rPr>
          <w:rFonts w:ascii="Arial" w:eastAsia="Times New Roman" w:hAnsi="Arial" w:cs="Arial"/>
          <w:color w:val="347186"/>
          <w:lang w:eastAsia="en-GB"/>
        </w:rPr>
        <w:t xml:space="preserve">Storage </w:t>
      </w:r>
    </w:p>
    <w:p w14:paraId="45E8B515" w14:textId="77777777" w:rsidR="00143ECF" w:rsidRPr="00143ECF" w:rsidRDefault="00143ECF" w:rsidP="00143ECF">
      <w:pPr>
        <w:pStyle w:val="ListParagraph"/>
        <w:numPr>
          <w:ilvl w:val="0"/>
          <w:numId w:val="37"/>
        </w:numPr>
        <w:suppressAutoHyphens w:val="0"/>
        <w:spacing w:after="0"/>
        <w:ind w:left="714" w:hanging="357"/>
        <w:rPr>
          <w:rFonts w:ascii="Arial" w:eastAsia="Times New Roman" w:hAnsi="Arial" w:cs="Arial"/>
          <w:color w:val="347186"/>
          <w:lang w:eastAsia="en-GB"/>
        </w:rPr>
      </w:pPr>
      <w:r w:rsidRPr="00143ECF">
        <w:rPr>
          <w:rFonts w:ascii="Arial" w:eastAsia="Times New Roman" w:hAnsi="Arial" w:cs="Arial"/>
          <w:color w:val="347186"/>
          <w:lang w:eastAsia="en-GB"/>
        </w:rPr>
        <w:t xml:space="preserve">Accountability and governance </w:t>
      </w:r>
    </w:p>
    <w:p w14:paraId="0B77BF1F" w14:textId="77777777" w:rsidR="00143ECF" w:rsidRPr="00143ECF" w:rsidRDefault="00143ECF" w:rsidP="00143ECF">
      <w:pPr>
        <w:pStyle w:val="ListParagraph"/>
        <w:numPr>
          <w:ilvl w:val="0"/>
          <w:numId w:val="37"/>
        </w:numPr>
        <w:suppressAutoHyphens w:val="0"/>
        <w:spacing w:after="0"/>
        <w:ind w:left="714" w:hanging="357"/>
        <w:rPr>
          <w:rFonts w:ascii="Arial" w:eastAsia="Times New Roman" w:hAnsi="Arial" w:cs="Arial"/>
          <w:color w:val="347186"/>
          <w:lang w:eastAsia="en-GB"/>
        </w:rPr>
      </w:pPr>
      <w:r w:rsidRPr="00143ECF">
        <w:rPr>
          <w:rFonts w:ascii="Arial" w:eastAsia="Times New Roman" w:hAnsi="Arial" w:cs="Arial"/>
          <w:color w:val="347186"/>
          <w:lang w:eastAsia="en-GB"/>
        </w:rPr>
        <w:t>Data protection officer (DPO)</w:t>
      </w:r>
    </w:p>
    <w:p w14:paraId="0BEBCF99" w14:textId="77777777" w:rsidR="00143ECF" w:rsidRPr="00143ECF" w:rsidRDefault="00143ECF" w:rsidP="00143ECF">
      <w:pPr>
        <w:pStyle w:val="ListParagraph"/>
        <w:numPr>
          <w:ilvl w:val="0"/>
          <w:numId w:val="37"/>
        </w:numPr>
        <w:suppressAutoHyphens w:val="0"/>
        <w:spacing w:after="0"/>
        <w:ind w:left="714" w:hanging="357"/>
        <w:rPr>
          <w:rFonts w:ascii="Arial" w:eastAsia="Times New Roman" w:hAnsi="Arial" w:cs="Arial"/>
          <w:color w:val="347186"/>
          <w:lang w:eastAsia="en-GB"/>
        </w:rPr>
      </w:pPr>
      <w:r w:rsidRPr="00143ECF">
        <w:rPr>
          <w:rFonts w:ascii="Arial" w:eastAsia="Times New Roman" w:hAnsi="Arial" w:cs="Arial"/>
          <w:color w:val="347186"/>
          <w:lang w:eastAsia="en-GB"/>
        </w:rPr>
        <w:t xml:space="preserve">Data breaches </w:t>
      </w:r>
    </w:p>
    <w:p w14:paraId="7087D10F" w14:textId="77777777" w:rsidR="00810C79" w:rsidRPr="00810C79" w:rsidRDefault="00143ECF" w:rsidP="00810C79">
      <w:pPr>
        <w:pStyle w:val="ListParagraph"/>
        <w:numPr>
          <w:ilvl w:val="0"/>
          <w:numId w:val="37"/>
        </w:numPr>
        <w:suppressAutoHyphens w:val="0"/>
        <w:spacing w:after="120"/>
        <w:ind w:left="714" w:hanging="357"/>
        <w:rPr>
          <w:rFonts w:ascii="Arial" w:eastAsia="Times New Roman" w:hAnsi="Arial" w:cs="Arial"/>
          <w:color w:val="347186"/>
          <w:lang w:eastAsia="en-GB"/>
        </w:rPr>
      </w:pPr>
      <w:r w:rsidRPr="00143ECF">
        <w:rPr>
          <w:rFonts w:ascii="Arial" w:eastAsia="Times New Roman" w:hAnsi="Arial" w:cs="Arial"/>
          <w:color w:val="347186"/>
          <w:lang w:eastAsia="en-GB"/>
        </w:rPr>
        <w:t>FAQs</w:t>
      </w:r>
    </w:p>
    <w:p w14:paraId="256C1A4C" w14:textId="77777777" w:rsidR="00810C79" w:rsidRDefault="00143ECF" w:rsidP="00810C79">
      <w:pPr>
        <w:suppressAutoHyphens w:val="0"/>
        <w:spacing w:after="120"/>
        <w:rPr>
          <w:rFonts w:ascii="Arial" w:eastAsia="Times New Roman" w:hAnsi="Arial" w:cs="Arial"/>
          <w:color w:val="347186"/>
          <w:lang w:eastAsia="en-GB"/>
        </w:rPr>
      </w:pPr>
      <w:r w:rsidRPr="00810C79">
        <w:rPr>
          <w:rFonts w:ascii="Arial" w:eastAsia="Times New Roman" w:hAnsi="Arial" w:cs="Arial"/>
          <w:b/>
          <w:color w:val="347186"/>
          <w:sz w:val="28"/>
          <w:lang w:eastAsia="en-GB"/>
        </w:rPr>
        <w:t>What is the GDPR?</w:t>
      </w:r>
      <w:r w:rsidR="00810C79">
        <w:rPr>
          <w:rFonts w:ascii="Arial" w:eastAsia="Times New Roman" w:hAnsi="Arial" w:cs="Arial"/>
          <w:color w:val="347186"/>
          <w:lang w:eastAsia="en-GB"/>
        </w:rPr>
        <w:t xml:space="preserve"> </w:t>
      </w:r>
    </w:p>
    <w:p w14:paraId="3F39942D" w14:textId="1860C8E9" w:rsidR="00AA319A" w:rsidRDefault="00143ECF" w:rsidP="00D22605">
      <w:pPr>
        <w:suppressAutoHyphens w:val="0"/>
        <w:spacing w:before="120" w:after="120"/>
        <w:jc w:val="both"/>
        <w:rPr>
          <w:rFonts w:ascii="Arial" w:eastAsia="Times New Roman" w:hAnsi="Arial" w:cs="Arial"/>
          <w:b/>
          <w:color w:val="347186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 GDPR is a set of guidelines for the collect</w:t>
      </w:r>
      <w:r w:rsidR="00214DD7">
        <w:rPr>
          <w:rFonts w:ascii="Arial" w:eastAsia="Times New Roman" w:hAnsi="Arial" w:cs="Arial"/>
          <w:color w:val="000000"/>
          <w:lang w:eastAsia="en-GB"/>
        </w:rPr>
        <w:t>ion</w:t>
      </w:r>
      <w:r>
        <w:rPr>
          <w:rFonts w:ascii="Arial" w:eastAsia="Times New Roman" w:hAnsi="Arial" w:cs="Arial"/>
          <w:color w:val="000000"/>
          <w:lang w:eastAsia="en-GB"/>
        </w:rPr>
        <w:t xml:space="preserve"> and processing of personal information of individuals within </w:t>
      </w:r>
      <w:r w:rsidR="008C08B2">
        <w:rPr>
          <w:rFonts w:ascii="Arial" w:eastAsia="Times New Roman" w:hAnsi="Arial" w:cs="Arial"/>
          <w:color w:val="000000"/>
          <w:lang w:eastAsia="en-GB"/>
        </w:rPr>
        <w:t>the UK</w:t>
      </w:r>
      <w:r w:rsidR="00744733">
        <w:rPr>
          <w:rFonts w:ascii="Arial" w:eastAsia="Times New Roman" w:hAnsi="Arial" w:cs="Arial"/>
          <w:color w:val="000000"/>
          <w:lang w:eastAsia="en-GB"/>
        </w:rPr>
        <w:t xml:space="preserve"> from</w:t>
      </w:r>
      <w:r>
        <w:rPr>
          <w:rFonts w:ascii="Arial" w:eastAsia="Times New Roman" w:hAnsi="Arial" w:cs="Arial"/>
          <w:color w:val="000000"/>
          <w:lang w:eastAsia="en-GB"/>
        </w:rPr>
        <w:t xml:space="preserve"> 25 May</w:t>
      </w:r>
      <w:r w:rsidR="00A049E3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2018.</w:t>
      </w:r>
      <w:r w:rsidR="00A049E3">
        <w:rPr>
          <w:rFonts w:ascii="Arial" w:eastAsia="Times New Roman" w:hAnsi="Arial" w:cs="Arial"/>
          <w:color w:val="000000"/>
          <w:lang w:eastAsia="en-GB"/>
        </w:rPr>
        <w:t xml:space="preserve"> The UK GDPR sits alongside an amended version of the Data Protection Act 2018.Since </w:t>
      </w:r>
      <w:r w:rsidR="006D5CB1">
        <w:rPr>
          <w:rFonts w:ascii="Arial" w:eastAsia="Times New Roman" w:hAnsi="Arial" w:cs="Arial"/>
          <w:b/>
          <w:color w:val="347186"/>
          <w:lang w:eastAsia="en-GB"/>
        </w:rPr>
        <w:br/>
      </w:r>
    </w:p>
    <w:p w14:paraId="1EF64F87" w14:textId="77777777" w:rsidR="003E697D" w:rsidRPr="00810C79" w:rsidRDefault="00143ECF" w:rsidP="00D22605">
      <w:pPr>
        <w:suppressAutoHyphens w:val="0"/>
        <w:spacing w:before="120" w:after="120"/>
        <w:jc w:val="both"/>
        <w:rPr>
          <w:rFonts w:ascii="Arial" w:eastAsia="Times New Roman" w:hAnsi="Arial" w:cs="Arial"/>
          <w:color w:val="347186"/>
          <w:lang w:eastAsia="en-GB"/>
        </w:rPr>
      </w:pPr>
      <w:r w:rsidRPr="00143ECF">
        <w:rPr>
          <w:rFonts w:ascii="Arial" w:eastAsia="Times New Roman" w:hAnsi="Arial" w:cs="Arial"/>
          <w:b/>
          <w:color w:val="347186"/>
          <w:lang w:eastAsia="en-GB"/>
        </w:rPr>
        <w:lastRenderedPageBreak/>
        <w:t>Definitions</w:t>
      </w:r>
    </w:p>
    <w:p w14:paraId="6A55A4F7" w14:textId="77777777" w:rsidR="00143ECF" w:rsidRDefault="00143ECF" w:rsidP="003F36D6">
      <w:pPr>
        <w:suppressAutoHyphens w:val="0"/>
        <w:jc w:val="both"/>
        <w:rPr>
          <w:rFonts w:ascii="Arial" w:eastAsia="Times New Roman" w:hAnsi="Arial" w:cs="Arial"/>
          <w:color w:val="auto"/>
          <w:lang w:eastAsia="en-GB"/>
        </w:rPr>
      </w:pPr>
      <w:r w:rsidRPr="00143ECF">
        <w:rPr>
          <w:rFonts w:ascii="Arial" w:eastAsia="Times New Roman" w:hAnsi="Arial" w:cs="Arial"/>
          <w:b/>
          <w:color w:val="auto"/>
          <w:lang w:eastAsia="en-GB"/>
        </w:rPr>
        <w:t>Data subject</w:t>
      </w:r>
      <w:r>
        <w:rPr>
          <w:rFonts w:ascii="Arial" w:eastAsia="Times New Roman" w:hAnsi="Arial" w:cs="Arial"/>
          <w:color w:val="auto"/>
          <w:lang w:eastAsia="en-GB"/>
        </w:rPr>
        <w:t xml:space="preserve"> – is an individual who is the subject of the personal data.</w:t>
      </w:r>
    </w:p>
    <w:p w14:paraId="72A67709" w14:textId="77777777" w:rsidR="00143ECF" w:rsidRDefault="00143ECF" w:rsidP="003F36D6">
      <w:pPr>
        <w:suppressAutoHyphens w:val="0"/>
        <w:jc w:val="both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b/>
          <w:color w:val="auto"/>
          <w:lang w:eastAsia="en-GB"/>
        </w:rPr>
        <w:t xml:space="preserve">Data controller </w:t>
      </w:r>
      <w:r>
        <w:rPr>
          <w:rFonts w:ascii="Arial" w:eastAsia="Times New Roman" w:hAnsi="Arial" w:cs="Arial"/>
          <w:color w:val="auto"/>
          <w:lang w:eastAsia="en-GB"/>
        </w:rPr>
        <w:t>– a person</w:t>
      </w:r>
      <w:r w:rsidR="006B465F">
        <w:rPr>
          <w:rFonts w:ascii="Arial" w:eastAsia="Times New Roman" w:hAnsi="Arial" w:cs="Arial"/>
          <w:color w:val="auto"/>
          <w:lang w:eastAsia="en-GB"/>
        </w:rPr>
        <w:t>, or organisation</w:t>
      </w:r>
      <w:r>
        <w:rPr>
          <w:rFonts w:ascii="Arial" w:eastAsia="Times New Roman" w:hAnsi="Arial" w:cs="Arial"/>
          <w:color w:val="auto"/>
          <w:lang w:eastAsia="en-GB"/>
        </w:rPr>
        <w:t xml:space="preserve"> who determines the purposes and ways that data is processed. </w:t>
      </w:r>
    </w:p>
    <w:p w14:paraId="77319644" w14:textId="77777777" w:rsidR="00143ECF" w:rsidRDefault="00143ECF" w:rsidP="003F36D6">
      <w:pPr>
        <w:suppressAutoHyphens w:val="0"/>
        <w:jc w:val="both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b/>
          <w:color w:val="auto"/>
          <w:lang w:eastAsia="en-GB"/>
        </w:rPr>
        <w:t>Data processor</w:t>
      </w:r>
      <w:r>
        <w:rPr>
          <w:rFonts w:ascii="Arial" w:eastAsia="Times New Roman" w:hAnsi="Arial" w:cs="Arial"/>
          <w:color w:val="auto"/>
          <w:lang w:eastAsia="en-GB"/>
        </w:rPr>
        <w:t xml:space="preserve"> – </w:t>
      </w:r>
      <w:r w:rsidR="00856F57">
        <w:rPr>
          <w:rFonts w:ascii="Arial" w:eastAsia="Times New Roman" w:hAnsi="Arial" w:cs="Arial"/>
          <w:color w:val="auto"/>
          <w:lang w:eastAsia="en-GB"/>
        </w:rPr>
        <w:t xml:space="preserve">any person who processes data on behalf of the data controller. </w:t>
      </w:r>
    </w:p>
    <w:p w14:paraId="445EB49A" w14:textId="77777777" w:rsidR="00856F57" w:rsidRDefault="00856F57" w:rsidP="003F36D6">
      <w:pPr>
        <w:suppressAutoHyphens w:val="0"/>
        <w:jc w:val="both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b/>
          <w:color w:val="auto"/>
          <w:lang w:eastAsia="en-GB"/>
        </w:rPr>
        <w:t>Data protection officer</w:t>
      </w:r>
      <w:r w:rsidR="00CF700B">
        <w:rPr>
          <w:rFonts w:ascii="Arial" w:eastAsia="Times New Roman" w:hAnsi="Arial" w:cs="Arial"/>
          <w:b/>
          <w:color w:val="auto"/>
          <w:lang w:eastAsia="en-GB"/>
        </w:rPr>
        <w:t xml:space="preserve"> (DPO)</w:t>
      </w:r>
      <w:r>
        <w:rPr>
          <w:rFonts w:ascii="Arial" w:eastAsia="Times New Roman" w:hAnsi="Arial" w:cs="Arial"/>
          <w:b/>
          <w:color w:val="auto"/>
          <w:lang w:eastAsia="en-GB"/>
        </w:rPr>
        <w:t xml:space="preserve"> </w:t>
      </w:r>
      <w:r>
        <w:rPr>
          <w:rFonts w:ascii="Arial" w:eastAsia="Times New Roman" w:hAnsi="Arial" w:cs="Arial"/>
          <w:color w:val="auto"/>
          <w:lang w:eastAsia="en-GB"/>
        </w:rPr>
        <w:t xml:space="preserve">– </w:t>
      </w:r>
      <w:r w:rsidR="00F90F7E">
        <w:rPr>
          <w:rFonts w:ascii="Arial" w:eastAsia="Times New Roman" w:hAnsi="Arial" w:cs="Arial"/>
          <w:color w:val="auto"/>
          <w:lang w:eastAsia="en-GB"/>
        </w:rPr>
        <w:t xml:space="preserve">the person(s) </w:t>
      </w:r>
      <w:r w:rsidR="009A588A">
        <w:rPr>
          <w:rFonts w:ascii="Arial" w:eastAsia="Times New Roman" w:hAnsi="Arial" w:cs="Arial"/>
          <w:color w:val="auto"/>
          <w:lang w:eastAsia="en-GB"/>
        </w:rPr>
        <w:t xml:space="preserve">responsible for ensuring the school is compliant with data protection legislation. </w:t>
      </w:r>
    </w:p>
    <w:p w14:paraId="00434234" w14:textId="77777777" w:rsidR="00143ECF" w:rsidRDefault="00143ECF" w:rsidP="003F36D6">
      <w:pPr>
        <w:suppressAutoHyphens w:val="0"/>
        <w:jc w:val="both"/>
        <w:rPr>
          <w:rFonts w:ascii="Arial" w:eastAsia="Times New Roman" w:hAnsi="Arial" w:cs="Arial"/>
          <w:color w:val="auto"/>
          <w:lang w:eastAsia="en-GB"/>
        </w:rPr>
      </w:pPr>
      <w:r w:rsidRPr="00856F57">
        <w:rPr>
          <w:rFonts w:ascii="Arial" w:eastAsia="Times New Roman" w:hAnsi="Arial" w:cs="Arial"/>
          <w:b/>
          <w:color w:val="auto"/>
          <w:lang w:eastAsia="en-GB"/>
        </w:rPr>
        <w:t>Personal</w:t>
      </w:r>
      <w:r>
        <w:rPr>
          <w:rFonts w:ascii="Arial" w:eastAsia="Times New Roman" w:hAnsi="Arial" w:cs="Arial"/>
          <w:b/>
          <w:color w:val="auto"/>
          <w:lang w:eastAsia="en-GB"/>
        </w:rPr>
        <w:t xml:space="preserve"> data</w:t>
      </w:r>
      <w:r>
        <w:rPr>
          <w:rFonts w:ascii="Arial" w:eastAsia="Times New Roman" w:hAnsi="Arial" w:cs="Arial"/>
          <w:color w:val="auto"/>
          <w:lang w:eastAsia="en-GB"/>
        </w:rPr>
        <w:t xml:space="preserve"> – </w:t>
      </w:r>
      <w:r w:rsidR="009A588A">
        <w:rPr>
          <w:rFonts w:ascii="Arial" w:eastAsia="Times New Roman" w:hAnsi="Arial" w:cs="Arial"/>
          <w:color w:val="auto"/>
          <w:lang w:eastAsia="en-GB"/>
        </w:rPr>
        <w:t xml:space="preserve">information that can identify an individual, such as an address. </w:t>
      </w:r>
    </w:p>
    <w:p w14:paraId="2F4F7898" w14:textId="77777777" w:rsidR="00AA7FFC" w:rsidRPr="009A588A" w:rsidRDefault="00143ECF" w:rsidP="00D22605">
      <w:pPr>
        <w:suppressAutoHyphens w:val="0"/>
        <w:spacing w:after="120"/>
        <w:jc w:val="both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b/>
          <w:color w:val="auto"/>
          <w:lang w:eastAsia="en-GB"/>
        </w:rPr>
        <w:t>Sensitive data</w:t>
      </w:r>
      <w:r>
        <w:rPr>
          <w:rFonts w:ascii="Arial" w:eastAsia="Times New Roman" w:hAnsi="Arial" w:cs="Arial"/>
          <w:color w:val="auto"/>
          <w:lang w:eastAsia="en-GB"/>
        </w:rPr>
        <w:t xml:space="preserve"> – </w:t>
      </w:r>
      <w:r w:rsidR="009A588A">
        <w:rPr>
          <w:rFonts w:ascii="Arial" w:eastAsia="Times New Roman" w:hAnsi="Arial" w:cs="Arial"/>
          <w:color w:val="auto"/>
          <w:lang w:eastAsia="en-GB"/>
        </w:rPr>
        <w:t xml:space="preserve">information consisting of racial or ethnic origin, political opinions, </w:t>
      </w:r>
      <w:r w:rsidR="00AA319A">
        <w:rPr>
          <w:rFonts w:ascii="Arial" w:eastAsia="Times New Roman" w:hAnsi="Arial" w:cs="Arial"/>
          <w:color w:val="auto"/>
          <w:lang w:eastAsia="en-GB"/>
        </w:rPr>
        <w:br/>
      </w:r>
      <w:r w:rsidR="009A588A">
        <w:rPr>
          <w:rFonts w:ascii="Arial" w:eastAsia="Times New Roman" w:hAnsi="Arial" w:cs="Arial"/>
          <w:color w:val="auto"/>
          <w:lang w:eastAsia="en-GB"/>
        </w:rPr>
        <w:t>religious or philosophical beliefs</w:t>
      </w:r>
      <w:r w:rsidR="006913DC">
        <w:rPr>
          <w:rFonts w:ascii="Arial" w:eastAsia="Times New Roman" w:hAnsi="Arial" w:cs="Arial"/>
          <w:color w:val="auto"/>
          <w:lang w:eastAsia="en-GB"/>
        </w:rPr>
        <w:t>,</w:t>
      </w:r>
      <w:r w:rsidR="009A588A">
        <w:rPr>
          <w:rFonts w:ascii="Arial" w:eastAsia="Times New Roman" w:hAnsi="Arial" w:cs="Arial"/>
          <w:color w:val="auto"/>
          <w:lang w:eastAsia="en-GB"/>
        </w:rPr>
        <w:t xml:space="preserve"> etc. </w:t>
      </w:r>
    </w:p>
    <w:p w14:paraId="16D21F70" w14:textId="77777777" w:rsidR="009A588A" w:rsidRPr="009A588A" w:rsidRDefault="009A588A" w:rsidP="003F36D6">
      <w:pPr>
        <w:suppressAutoHyphens w:val="0"/>
        <w:jc w:val="both"/>
        <w:rPr>
          <w:rFonts w:ascii="Arial" w:eastAsia="Times New Roman" w:hAnsi="Arial" w:cs="Arial"/>
          <w:b/>
          <w:color w:val="347186"/>
          <w:sz w:val="28"/>
          <w:lang w:eastAsia="en-GB"/>
        </w:rPr>
      </w:pPr>
      <w:r w:rsidRPr="009A588A">
        <w:rPr>
          <w:rFonts w:ascii="Arial" w:eastAsia="Times New Roman" w:hAnsi="Arial" w:cs="Arial"/>
          <w:b/>
          <w:color w:val="347186"/>
          <w:sz w:val="28"/>
          <w:lang w:eastAsia="en-GB"/>
        </w:rPr>
        <w:t>Consent</w:t>
      </w:r>
    </w:p>
    <w:p w14:paraId="160CC0BD" w14:textId="77777777" w:rsidR="009A588A" w:rsidRDefault="009A588A" w:rsidP="003F36D6">
      <w:pPr>
        <w:suppressAutoHyphens w:val="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Under the GDPR, consent </w:t>
      </w:r>
      <w:r w:rsidRPr="009A588A">
        <w:rPr>
          <w:rFonts w:ascii="Arial" w:eastAsia="Times New Roman" w:hAnsi="Arial" w:cs="Arial"/>
          <w:b/>
          <w:color w:val="000000"/>
          <w:lang w:eastAsia="en-GB"/>
        </w:rPr>
        <w:t>must</w:t>
      </w:r>
      <w:r>
        <w:rPr>
          <w:rFonts w:ascii="Arial" w:eastAsia="Times New Roman" w:hAnsi="Arial" w:cs="Arial"/>
          <w:color w:val="000000"/>
          <w:lang w:eastAsia="en-GB"/>
        </w:rPr>
        <w:t xml:space="preserve"> be:</w:t>
      </w:r>
    </w:p>
    <w:p w14:paraId="024ADD38" w14:textId="77777777" w:rsidR="009A588A" w:rsidRDefault="009A588A" w:rsidP="003F36D6">
      <w:pPr>
        <w:pStyle w:val="ListParagraph"/>
        <w:numPr>
          <w:ilvl w:val="0"/>
          <w:numId w:val="38"/>
        </w:numPr>
        <w:suppressAutoHyphens w:val="0"/>
        <w:spacing w:after="0"/>
        <w:ind w:left="714" w:hanging="357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Freely given.</w:t>
      </w:r>
    </w:p>
    <w:p w14:paraId="0D15568F" w14:textId="77777777" w:rsidR="009A588A" w:rsidRDefault="009A588A" w:rsidP="003F36D6">
      <w:pPr>
        <w:pStyle w:val="ListParagraph"/>
        <w:numPr>
          <w:ilvl w:val="0"/>
          <w:numId w:val="38"/>
        </w:numPr>
        <w:suppressAutoHyphens w:val="0"/>
        <w:spacing w:after="0"/>
        <w:ind w:left="714" w:hanging="357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Specific. </w:t>
      </w:r>
    </w:p>
    <w:p w14:paraId="06A65BAF" w14:textId="77777777" w:rsidR="009A588A" w:rsidRDefault="009A588A" w:rsidP="003F36D6">
      <w:pPr>
        <w:pStyle w:val="ListParagraph"/>
        <w:numPr>
          <w:ilvl w:val="0"/>
          <w:numId w:val="38"/>
        </w:numPr>
        <w:suppressAutoHyphens w:val="0"/>
        <w:spacing w:after="0"/>
        <w:ind w:left="714" w:hanging="357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Informed. </w:t>
      </w:r>
    </w:p>
    <w:p w14:paraId="371807BB" w14:textId="77777777" w:rsidR="009A588A" w:rsidRDefault="009A588A" w:rsidP="003F36D6">
      <w:pPr>
        <w:pStyle w:val="ListParagraph"/>
        <w:numPr>
          <w:ilvl w:val="0"/>
          <w:numId w:val="38"/>
        </w:numPr>
        <w:suppressAutoHyphens w:val="0"/>
        <w:spacing w:after="0"/>
        <w:ind w:left="714" w:hanging="357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Unambiguous. </w:t>
      </w:r>
    </w:p>
    <w:p w14:paraId="2FED603D" w14:textId="77777777" w:rsidR="009A588A" w:rsidRPr="00D66072" w:rsidRDefault="009A588A" w:rsidP="00D66072">
      <w:pPr>
        <w:pStyle w:val="ListParagraph"/>
        <w:numPr>
          <w:ilvl w:val="0"/>
          <w:numId w:val="38"/>
        </w:numPr>
        <w:suppressAutoHyphens w:val="0"/>
        <w:spacing w:after="120"/>
        <w:ind w:left="714" w:hanging="357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Firm confirmation or a positive opt-in </w:t>
      </w:r>
      <w:r w:rsidRPr="00D66072">
        <w:rPr>
          <w:rFonts w:ascii="Arial" w:eastAsia="Times New Roman" w:hAnsi="Arial" w:cs="Arial"/>
          <w:color w:val="000000"/>
          <w:lang w:eastAsia="en-GB"/>
        </w:rPr>
        <w:t xml:space="preserve">(not pre-ticked boxes for example). </w:t>
      </w:r>
    </w:p>
    <w:p w14:paraId="4091C5CC" w14:textId="77777777" w:rsidR="009A588A" w:rsidRDefault="009A588A" w:rsidP="003F36D6">
      <w:pPr>
        <w:suppressAutoHyphens w:val="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Consent </w:t>
      </w:r>
      <w:r w:rsidRPr="009A588A">
        <w:rPr>
          <w:rFonts w:ascii="Arial" w:eastAsia="Times New Roman" w:hAnsi="Arial" w:cs="Arial"/>
          <w:b/>
          <w:color w:val="000000"/>
          <w:lang w:eastAsia="en-GB"/>
        </w:rPr>
        <w:t>cannot</w:t>
      </w:r>
      <w:r>
        <w:rPr>
          <w:rFonts w:ascii="Arial" w:eastAsia="Times New Roman" w:hAnsi="Arial" w:cs="Arial"/>
          <w:color w:val="000000"/>
          <w:lang w:eastAsia="en-GB"/>
        </w:rPr>
        <w:t xml:space="preserve"> be obtained from the </w:t>
      </w:r>
      <w:r w:rsidR="00AA319A">
        <w:rPr>
          <w:rFonts w:ascii="Arial" w:eastAsia="Times New Roman" w:hAnsi="Arial" w:cs="Arial"/>
          <w:color w:val="000000"/>
          <w:lang w:eastAsia="en-GB"/>
        </w:rPr>
        <w:br/>
      </w:r>
      <w:r>
        <w:rPr>
          <w:rFonts w:ascii="Arial" w:eastAsia="Times New Roman" w:hAnsi="Arial" w:cs="Arial"/>
          <w:color w:val="000000"/>
          <w:lang w:eastAsia="en-GB"/>
        </w:rPr>
        <w:t>following:</w:t>
      </w:r>
    </w:p>
    <w:p w14:paraId="335E0172" w14:textId="77777777" w:rsidR="009A588A" w:rsidRDefault="009A588A" w:rsidP="003F36D6">
      <w:pPr>
        <w:pStyle w:val="ListParagraph"/>
        <w:numPr>
          <w:ilvl w:val="0"/>
          <w:numId w:val="39"/>
        </w:numPr>
        <w:suppressAutoHyphens w:val="0"/>
        <w:spacing w:after="0"/>
        <w:ind w:left="714" w:hanging="357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Silence</w:t>
      </w:r>
    </w:p>
    <w:p w14:paraId="386A4031" w14:textId="77777777" w:rsidR="009A588A" w:rsidRDefault="009A588A" w:rsidP="003F36D6">
      <w:pPr>
        <w:pStyle w:val="ListParagraph"/>
        <w:numPr>
          <w:ilvl w:val="0"/>
          <w:numId w:val="39"/>
        </w:numPr>
        <w:suppressAutoHyphens w:val="0"/>
        <w:spacing w:after="0"/>
        <w:ind w:left="714" w:hanging="357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Pre-ticked boxes</w:t>
      </w:r>
    </w:p>
    <w:p w14:paraId="5F2D601B" w14:textId="77777777" w:rsidR="009A588A" w:rsidRDefault="009A588A" w:rsidP="00810C79">
      <w:pPr>
        <w:pStyle w:val="ListParagraph"/>
        <w:numPr>
          <w:ilvl w:val="0"/>
          <w:numId w:val="39"/>
        </w:numPr>
        <w:suppressAutoHyphens w:val="0"/>
        <w:spacing w:after="120"/>
        <w:ind w:left="714" w:hanging="357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Inactivity</w:t>
      </w:r>
    </w:p>
    <w:p w14:paraId="6ACCD083" w14:textId="77777777" w:rsidR="009A588A" w:rsidRDefault="009A588A" w:rsidP="00D22605">
      <w:pPr>
        <w:suppressAutoHyphens w:val="0"/>
        <w:spacing w:after="12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Consent obtained under</w:t>
      </w:r>
      <w:r w:rsidR="00D1689F">
        <w:rPr>
          <w:rFonts w:ascii="Arial" w:eastAsia="Times New Roman" w:hAnsi="Arial" w:cs="Arial"/>
          <w:color w:val="000000"/>
          <w:lang w:eastAsia="en-GB"/>
        </w:rPr>
        <w:t xml:space="preserve"> the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F36D6">
        <w:rPr>
          <w:rFonts w:ascii="Arial" w:eastAsia="Times New Roman" w:hAnsi="Arial" w:cs="Arial"/>
          <w:color w:val="000000"/>
          <w:lang w:eastAsia="en-GB"/>
        </w:rPr>
        <w:t>DPA</w:t>
      </w:r>
      <w:r w:rsidR="006913DC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may need to be reobtained in compliance with the GDPR. </w:t>
      </w:r>
    </w:p>
    <w:p w14:paraId="4E681039" w14:textId="77777777" w:rsidR="003F36D6" w:rsidRDefault="009A588A" w:rsidP="003F36D6">
      <w:pPr>
        <w:suppressAutoHyphens w:val="0"/>
        <w:spacing w:after="0"/>
        <w:jc w:val="both"/>
        <w:rPr>
          <w:rFonts w:ascii="Arial" w:eastAsia="Times New Roman" w:hAnsi="Arial" w:cs="Arial"/>
          <w:b/>
          <w:color w:val="347186"/>
          <w:sz w:val="28"/>
          <w:lang w:eastAsia="en-GB"/>
        </w:rPr>
      </w:pPr>
      <w:r w:rsidRPr="009A588A">
        <w:rPr>
          <w:rFonts w:ascii="Arial" w:eastAsia="Times New Roman" w:hAnsi="Arial" w:cs="Arial"/>
          <w:b/>
          <w:color w:val="347186"/>
          <w:sz w:val="28"/>
          <w:lang w:eastAsia="en-GB"/>
        </w:rPr>
        <w:t xml:space="preserve">Individuals’ rights </w:t>
      </w:r>
    </w:p>
    <w:p w14:paraId="0943446F" w14:textId="77777777" w:rsidR="009A588A" w:rsidRDefault="003F36D6" w:rsidP="003F36D6">
      <w:pPr>
        <w:suppressAutoHyphens w:val="0"/>
        <w:spacing w:after="12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br/>
        <w:t xml:space="preserve">The GDPR has created new rights for individuals and </w:t>
      </w:r>
      <w:r w:rsidR="00744733">
        <w:rPr>
          <w:rFonts w:ascii="Arial" w:eastAsia="Times New Roman" w:hAnsi="Arial" w:cs="Arial"/>
          <w:color w:val="000000"/>
          <w:lang w:eastAsia="en-GB"/>
        </w:rPr>
        <w:t xml:space="preserve">strengthens </w:t>
      </w:r>
      <w:r>
        <w:rPr>
          <w:rFonts w:ascii="Arial" w:eastAsia="Times New Roman" w:hAnsi="Arial" w:cs="Arial"/>
          <w:color w:val="000000"/>
          <w:lang w:eastAsia="en-GB"/>
        </w:rPr>
        <w:t>some that existed under the DPA</w:t>
      </w:r>
      <w:r w:rsidR="006913DC">
        <w:rPr>
          <w:rFonts w:ascii="Arial" w:eastAsia="Times New Roman" w:hAnsi="Arial" w:cs="Arial"/>
          <w:color w:val="000000"/>
          <w:lang w:eastAsia="en-GB"/>
        </w:rPr>
        <w:t xml:space="preserve"> –</w:t>
      </w:r>
      <w:r>
        <w:rPr>
          <w:rFonts w:ascii="Arial" w:eastAsia="Times New Roman" w:hAnsi="Arial" w:cs="Arial"/>
          <w:color w:val="000000"/>
          <w:lang w:eastAsia="en-GB"/>
        </w:rPr>
        <w:t>these are the following:</w:t>
      </w:r>
    </w:p>
    <w:p w14:paraId="74A5151C" w14:textId="77777777" w:rsidR="003F36D6" w:rsidRPr="003F36D6" w:rsidRDefault="003F36D6" w:rsidP="003F36D6">
      <w:pPr>
        <w:pStyle w:val="ListParagraph"/>
        <w:numPr>
          <w:ilvl w:val="0"/>
          <w:numId w:val="40"/>
        </w:numPr>
        <w:suppressAutoHyphens w:val="0"/>
        <w:spacing w:after="0"/>
        <w:jc w:val="both"/>
        <w:rPr>
          <w:rFonts w:ascii="Arial" w:eastAsia="Times New Roman" w:hAnsi="Arial" w:cs="Arial"/>
          <w:b/>
          <w:color w:val="auto"/>
          <w:lang w:eastAsia="en-GB"/>
        </w:rPr>
      </w:pPr>
      <w:r w:rsidRPr="003F36D6">
        <w:rPr>
          <w:rFonts w:ascii="Arial" w:eastAsia="Times New Roman" w:hAnsi="Arial" w:cs="Arial"/>
          <w:b/>
          <w:color w:val="auto"/>
          <w:lang w:eastAsia="en-GB"/>
        </w:rPr>
        <w:t>The right to be informed</w:t>
      </w:r>
    </w:p>
    <w:p w14:paraId="7C27DB9D" w14:textId="77777777" w:rsidR="003F36D6" w:rsidRDefault="003F36D6" w:rsidP="003F36D6">
      <w:pPr>
        <w:pStyle w:val="ListParagraph"/>
        <w:numPr>
          <w:ilvl w:val="0"/>
          <w:numId w:val="40"/>
        </w:numPr>
        <w:suppressAutoHyphens w:val="0"/>
        <w:spacing w:after="0"/>
        <w:jc w:val="both"/>
        <w:rPr>
          <w:rFonts w:ascii="Arial" w:eastAsia="Times New Roman" w:hAnsi="Arial" w:cs="Arial"/>
          <w:b/>
          <w:color w:val="auto"/>
          <w:lang w:eastAsia="en-GB"/>
        </w:rPr>
      </w:pPr>
      <w:r>
        <w:rPr>
          <w:rFonts w:ascii="Arial" w:eastAsia="Times New Roman" w:hAnsi="Arial" w:cs="Arial"/>
          <w:b/>
          <w:color w:val="auto"/>
          <w:lang w:eastAsia="en-GB"/>
        </w:rPr>
        <w:t>The right of access</w:t>
      </w:r>
    </w:p>
    <w:p w14:paraId="20210D66" w14:textId="77777777" w:rsidR="003F36D6" w:rsidRDefault="003F36D6" w:rsidP="003F36D6">
      <w:pPr>
        <w:pStyle w:val="ListParagraph"/>
        <w:numPr>
          <w:ilvl w:val="0"/>
          <w:numId w:val="40"/>
        </w:numPr>
        <w:suppressAutoHyphens w:val="0"/>
        <w:spacing w:after="0"/>
        <w:jc w:val="both"/>
        <w:rPr>
          <w:rFonts w:ascii="Arial" w:eastAsia="Times New Roman" w:hAnsi="Arial" w:cs="Arial"/>
          <w:b/>
          <w:color w:val="auto"/>
          <w:lang w:eastAsia="en-GB"/>
        </w:rPr>
      </w:pPr>
      <w:r>
        <w:rPr>
          <w:rFonts w:ascii="Arial" w:eastAsia="Times New Roman" w:hAnsi="Arial" w:cs="Arial"/>
          <w:b/>
          <w:color w:val="auto"/>
          <w:lang w:eastAsia="en-GB"/>
        </w:rPr>
        <w:t xml:space="preserve">The right of rectification </w:t>
      </w:r>
    </w:p>
    <w:p w14:paraId="2F0BC32B" w14:textId="77777777" w:rsidR="003F36D6" w:rsidRDefault="003F36D6" w:rsidP="003F36D6">
      <w:pPr>
        <w:pStyle w:val="ListParagraph"/>
        <w:numPr>
          <w:ilvl w:val="0"/>
          <w:numId w:val="40"/>
        </w:numPr>
        <w:suppressAutoHyphens w:val="0"/>
        <w:spacing w:after="0"/>
        <w:jc w:val="both"/>
        <w:rPr>
          <w:rFonts w:ascii="Arial" w:eastAsia="Times New Roman" w:hAnsi="Arial" w:cs="Arial"/>
          <w:b/>
          <w:color w:val="auto"/>
          <w:lang w:eastAsia="en-GB"/>
        </w:rPr>
      </w:pPr>
      <w:r>
        <w:rPr>
          <w:rFonts w:ascii="Arial" w:eastAsia="Times New Roman" w:hAnsi="Arial" w:cs="Arial"/>
          <w:b/>
          <w:color w:val="auto"/>
          <w:lang w:eastAsia="en-GB"/>
        </w:rPr>
        <w:t>The right to erasure</w:t>
      </w:r>
    </w:p>
    <w:p w14:paraId="714B1C8A" w14:textId="77777777" w:rsidR="003F36D6" w:rsidRDefault="003F36D6" w:rsidP="003F36D6">
      <w:pPr>
        <w:pStyle w:val="ListParagraph"/>
        <w:numPr>
          <w:ilvl w:val="0"/>
          <w:numId w:val="40"/>
        </w:numPr>
        <w:suppressAutoHyphens w:val="0"/>
        <w:spacing w:after="0"/>
        <w:jc w:val="both"/>
        <w:rPr>
          <w:rFonts w:ascii="Arial" w:eastAsia="Times New Roman" w:hAnsi="Arial" w:cs="Arial"/>
          <w:b/>
          <w:color w:val="auto"/>
          <w:lang w:eastAsia="en-GB"/>
        </w:rPr>
      </w:pPr>
      <w:r>
        <w:rPr>
          <w:rFonts w:ascii="Arial" w:eastAsia="Times New Roman" w:hAnsi="Arial" w:cs="Arial"/>
          <w:b/>
          <w:color w:val="auto"/>
          <w:lang w:eastAsia="en-GB"/>
        </w:rPr>
        <w:t xml:space="preserve">The right to restrict processing </w:t>
      </w:r>
    </w:p>
    <w:p w14:paraId="6992C4C1" w14:textId="77777777" w:rsidR="003F36D6" w:rsidRDefault="003F36D6" w:rsidP="003F36D6">
      <w:pPr>
        <w:pStyle w:val="ListParagraph"/>
        <w:numPr>
          <w:ilvl w:val="0"/>
          <w:numId w:val="40"/>
        </w:numPr>
        <w:suppressAutoHyphens w:val="0"/>
        <w:spacing w:after="0"/>
        <w:jc w:val="both"/>
        <w:rPr>
          <w:rFonts w:ascii="Arial" w:eastAsia="Times New Roman" w:hAnsi="Arial" w:cs="Arial"/>
          <w:b/>
          <w:color w:val="auto"/>
          <w:lang w:eastAsia="en-GB"/>
        </w:rPr>
      </w:pPr>
      <w:r>
        <w:rPr>
          <w:rFonts w:ascii="Arial" w:eastAsia="Times New Roman" w:hAnsi="Arial" w:cs="Arial"/>
          <w:b/>
          <w:color w:val="auto"/>
          <w:lang w:eastAsia="en-GB"/>
        </w:rPr>
        <w:t xml:space="preserve">The right to data portability </w:t>
      </w:r>
    </w:p>
    <w:p w14:paraId="3E930C3C" w14:textId="77777777" w:rsidR="003F36D6" w:rsidRDefault="003F36D6" w:rsidP="003F36D6">
      <w:pPr>
        <w:pStyle w:val="ListParagraph"/>
        <w:numPr>
          <w:ilvl w:val="0"/>
          <w:numId w:val="40"/>
        </w:numPr>
        <w:suppressAutoHyphens w:val="0"/>
        <w:spacing w:after="0"/>
        <w:jc w:val="both"/>
        <w:rPr>
          <w:rFonts w:ascii="Arial" w:eastAsia="Times New Roman" w:hAnsi="Arial" w:cs="Arial"/>
          <w:b/>
          <w:color w:val="auto"/>
          <w:lang w:eastAsia="en-GB"/>
        </w:rPr>
      </w:pPr>
      <w:r>
        <w:rPr>
          <w:rFonts w:ascii="Arial" w:eastAsia="Times New Roman" w:hAnsi="Arial" w:cs="Arial"/>
          <w:b/>
          <w:color w:val="auto"/>
          <w:lang w:eastAsia="en-GB"/>
        </w:rPr>
        <w:t>The right to object</w:t>
      </w:r>
    </w:p>
    <w:p w14:paraId="2A4937C2" w14:textId="77777777" w:rsidR="003F36D6" w:rsidRPr="003F36D6" w:rsidRDefault="003F36D6" w:rsidP="00D22605">
      <w:pPr>
        <w:pStyle w:val="ListParagraph"/>
        <w:numPr>
          <w:ilvl w:val="0"/>
          <w:numId w:val="40"/>
        </w:numPr>
        <w:suppressAutoHyphens w:val="0"/>
        <w:spacing w:after="120"/>
        <w:ind w:left="714" w:hanging="357"/>
        <w:jc w:val="both"/>
        <w:rPr>
          <w:rFonts w:ascii="Arial" w:eastAsia="Times New Roman" w:hAnsi="Arial" w:cs="Arial"/>
          <w:b/>
          <w:color w:val="auto"/>
          <w:lang w:eastAsia="en-GB"/>
        </w:rPr>
      </w:pPr>
      <w:r>
        <w:rPr>
          <w:rFonts w:ascii="Arial" w:eastAsia="Times New Roman" w:hAnsi="Arial" w:cs="Arial"/>
          <w:b/>
          <w:color w:val="auto"/>
          <w:lang w:eastAsia="en-GB"/>
        </w:rPr>
        <w:t>Rights to automated decision-making and profiling</w:t>
      </w:r>
    </w:p>
    <w:p w14:paraId="55ECDEC6" w14:textId="77777777" w:rsidR="00AF40E6" w:rsidRPr="006D5CB1" w:rsidRDefault="006D5CB1" w:rsidP="000209BC">
      <w:pPr>
        <w:suppressAutoHyphens w:val="0"/>
        <w:jc w:val="both"/>
        <w:rPr>
          <w:rFonts w:ascii="Arial" w:eastAsia="Times New Roman" w:hAnsi="Arial" w:cs="Arial"/>
          <w:b/>
          <w:color w:val="347186"/>
          <w:sz w:val="28"/>
          <w:lang w:eastAsia="en-GB"/>
        </w:rPr>
      </w:pPr>
      <w:r w:rsidRPr="006D5CB1">
        <w:rPr>
          <w:rFonts w:ascii="Arial" w:eastAsia="Times New Roman" w:hAnsi="Arial" w:cs="Arial"/>
          <w:b/>
          <w:color w:val="347186"/>
          <w:sz w:val="28"/>
          <w:lang w:eastAsia="en-GB"/>
        </w:rPr>
        <w:t>Pupils’ data and children</w:t>
      </w:r>
    </w:p>
    <w:p w14:paraId="7B2B2ED6" w14:textId="77777777" w:rsidR="009D4765" w:rsidRDefault="006D5CB1" w:rsidP="000209BC">
      <w:p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 GDPR has introduced new provisions that are intended to enhance the protection of children’s data. Schools should have child-friendly privacy notices which are written in an age-appropriate way, to explain the ways in which the school processes and uses </w:t>
      </w:r>
      <w:r>
        <w:rPr>
          <w:rFonts w:ascii="Arial" w:eastAsia="Times New Roman" w:hAnsi="Arial" w:cs="Arial"/>
          <w:color w:val="000000"/>
          <w:lang w:eastAsia="en-GB"/>
        </w:rPr>
        <w:br/>
        <w:t xml:space="preserve">pupils’ data.   </w:t>
      </w:r>
    </w:p>
    <w:p w14:paraId="42B0D0F0" w14:textId="77777777" w:rsidR="006913DC" w:rsidRPr="00AA319A" w:rsidRDefault="006D5CB1" w:rsidP="00AA319A">
      <w:pPr>
        <w:shd w:val="clear" w:color="auto" w:fill="FFFFFF"/>
        <w:suppressAutoHyphens w:val="0"/>
        <w:autoSpaceDN/>
        <w:spacing w:before="100" w:beforeAutospacing="1" w:after="120"/>
        <w:jc w:val="both"/>
        <w:textAlignment w:val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Under the GDPR, children may</w:t>
      </w:r>
      <w:r w:rsidR="006B465F">
        <w:rPr>
          <w:rFonts w:ascii="Arial" w:eastAsia="Times New Roman" w:hAnsi="Arial" w:cs="Arial"/>
          <w:color w:val="000000"/>
          <w:lang w:eastAsia="en-GB"/>
        </w:rPr>
        <w:t>,</w:t>
      </w:r>
      <w:r>
        <w:rPr>
          <w:rFonts w:ascii="Arial" w:eastAsia="Times New Roman" w:hAnsi="Arial" w:cs="Arial"/>
          <w:color w:val="000000"/>
          <w:lang w:eastAsia="en-GB"/>
        </w:rPr>
        <w:t xml:space="preserve"> from the age of 13</w:t>
      </w:r>
      <w:r w:rsidR="006B465F">
        <w:rPr>
          <w:rFonts w:ascii="Arial" w:eastAsia="Times New Roman" w:hAnsi="Arial" w:cs="Arial"/>
          <w:color w:val="000000"/>
          <w:lang w:eastAsia="en-GB"/>
        </w:rPr>
        <w:t>,</w:t>
      </w:r>
      <w:r>
        <w:rPr>
          <w:rFonts w:ascii="Arial" w:eastAsia="Times New Roman" w:hAnsi="Arial" w:cs="Arial"/>
          <w:color w:val="000000"/>
          <w:lang w:eastAsia="en-GB"/>
        </w:rPr>
        <w:t xml:space="preserve"> consent for themselves, if it is deemed</w:t>
      </w:r>
      <w:r w:rsidR="00744733">
        <w:rPr>
          <w:rFonts w:ascii="Arial" w:eastAsia="Times New Roman" w:hAnsi="Arial" w:cs="Arial"/>
          <w:color w:val="000000"/>
          <w:lang w:eastAsia="en-GB"/>
        </w:rPr>
        <w:t xml:space="preserve"> by the school</w:t>
      </w:r>
      <w:r>
        <w:rPr>
          <w:rFonts w:ascii="Arial" w:eastAsia="Times New Roman" w:hAnsi="Arial" w:cs="Arial"/>
          <w:color w:val="000000"/>
          <w:lang w:eastAsia="en-GB"/>
        </w:rPr>
        <w:t xml:space="preserve"> that they have the capacity to understand the privacy notice. If not, the school should seek parental consent.  </w:t>
      </w:r>
      <w:r w:rsidR="00F670E2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144C5125" w14:textId="77777777" w:rsidR="00CF2021" w:rsidRDefault="00CF2021" w:rsidP="00730300">
      <w:p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b/>
          <w:color w:val="347186"/>
          <w:sz w:val="28"/>
          <w:lang w:eastAsia="en-GB"/>
        </w:rPr>
      </w:pPr>
      <w:r w:rsidRPr="00CF2021">
        <w:rPr>
          <w:rFonts w:ascii="Arial" w:eastAsia="Times New Roman" w:hAnsi="Arial" w:cs="Arial"/>
          <w:b/>
          <w:color w:val="347186"/>
          <w:sz w:val="28"/>
          <w:lang w:eastAsia="en-GB"/>
        </w:rPr>
        <w:t>Storage</w:t>
      </w:r>
    </w:p>
    <w:p w14:paraId="4ED1B6A2" w14:textId="47ED7519" w:rsidR="00CF2021" w:rsidRPr="00CF2021" w:rsidRDefault="00CF2021" w:rsidP="00730300">
      <w:p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Article 5 of t</w:t>
      </w:r>
      <w:r w:rsidRPr="00CF2021">
        <w:rPr>
          <w:rFonts w:ascii="Arial" w:eastAsia="Times New Roman" w:hAnsi="Arial" w:cs="Arial"/>
          <w:color w:val="auto"/>
          <w:lang w:eastAsia="en-GB"/>
        </w:rPr>
        <w:t xml:space="preserve">he GDPR states that personal data must be subject to the appropriate technical and organisational measures required to protect </w:t>
      </w:r>
      <w:r w:rsidR="006B465F">
        <w:rPr>
          <w:rFonts w:ascii="Arial" w:eastAsia="Times New Roman" w:hAnsi="Arial" w:cs="Arial"/>
          <w:color w:val="auto"/>
          <w:lang w:eastAsia="en-GB"/>
        </w:rPr>
        <w:t xml:space="preserve">it </w:t>
      </w:r>
      <w:r w:rsidRPr="00CF2021">
        <w:rPr>
          <w:rFonts w:ascii="Arial" w:eastAsia="Times New Roman" w:hAnsi="Arial" w:cs="Arial"/>
          <w:color w:val="auto"/>
          <w:lang w:eastAsia="en-GB"/>
        </w:rPr>
        <w:t>against unlawful processing</w:t>
      </w:r>
      <w:r w:rsidR="002756BC">
        <w:rPr>
          <w:rFonts w:ascii="Arial" w:eastAsia="Times New Roman" w:hAnsi="Arial" w:cs="Arial"/>
          <w:color w:val="auto"/>
          <w:lang w:eastAsia="en-GB"/>
        </w:rPr>
        <w:t>,</w:t>
      </w:r>
      <w:r w:rsidRPr="00CF2021">
        <w:rPr>
          <w:rFonts w:ascii="Arial" w:eastAsia="Times New Roman" w:hAnsi="Arial" w:cs="Arial"/>
          <w:color w:val="auto"/>
          <w:lang w:eastAsia="en-GB"/>
        </w:rPr>
        <w:t xml:space="preserve"> and </w:t>
      </w:r>
      <w:r w:rsidRPr="00CF2021">
        <w:rPr>
          <w:rFonts w:ascii="Arial" w:eastAsia="Times New Roman" w:hAnsi="Arial" w:cs="Arial"/>
          <w:color w:val="auto"/>
          <w:lang w:eastAsia="en-GB"/>
        </w:rPr>
        <w:t>against accidental loss, destruction or damage.</w:t>
      </w:r>
      <w:r>
        <w:rPr>
          <w:rFonts w:ascii="Arial" w:eastAsia="Times New Roman" w:hAnsi="Arial" w:cs="Arial"/>
          <w:color w:val="auto"/>
          <w:lang w:eastAsia="en-GB"/>
        </w:rPr>
        <w:t xml:space="preserve"> </w:t>
      </w:r>
      <w:r w:rsidR="00810C79">
        <w:rPr>
          <w:rFonts w:ascii="Arial" w:eastAsia="Times New Roman" w:hAnsi="Arial" w:cs="Arial"/>
          <w:color w:val="auto"/>
          <w:lang w:eastAsia="en-GB"/>
        </w:rPr>
        <w:t xml:space="preserve">This could include a locked filing cabinet for paper files and encrypted, password-protected files for digital data. </w:t>
      </w:r>
    </w:p>
    <w:p w14:paraId="5E58358C" w14:textId="77777777" w:rsidR="006D5CB1" w:rsidRPr="006D5CB1" w:rsidRDefault="006D5CB1" w:rsidP="00730300">
      <w:p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b/>
          <w:color w:val="347186"/>
          <w:sz w:val="28"/>
          <w:lang w:eastAsia="en-GB"/>
        </w:rPr>
      </w:pPr>
      <w:r w:rsidRPr="006D5CB1">
        <w:rPr>
          <w:rFonts w:ascii="Arial" w:eastAsia="Times New Roman" w:hAnsi="Arial" w:cs="Arial"/>
          <w:b/>
          <w:color w:val="347186"/>
          <w:sz w:val="28"/>
          <w:lang w:eastAsia="en-GB"/>
        </w:rPr>
        <w:t xml:space="preserve">Accountability and governance </w:t>
      </w:r>
    </w:p>
    <w:p w14:paraId="790B2DBF" w14:textId="10D6B15A" w:rsidR="00FA02EC" w:rsidRDefault="006D5CB1" w:rsidP="00730300">
      <w:p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Under the </w:t>
      </w:r>
      <w:r w:rsidR="00A049E3">
        <w:rPr>
          <w:rFonts w:ascii="Arial" w:eastAsia="Times New Roman" w:hAnsi="Arial" w:cs="Arial"/>
          <w:color w:val="000000"/>
          <w:lang w:eastAsia="en-GB"/>
        </w:rPr>
        <w:t xml:space="preserve">UK </w:t>
      </w:r>
      <w:r>
        <w:rPr>
          <w:rFonts w:ascii="Arial" w:eastAsia="Times New Roman" w:hAnsi="Arial" w:cs="Arial"/>
          <w:color w:val="000000"/>
          <w:lang w:eastAsia="en-GB"/>
        </w:rPr>
        <w:t>GDPR, schools are expected to have comprehensive and proportionate governance measures in pace to minimi</w:t>
      </w:r>
      <w:r w:rsidR="006913DC">
        <w:rPr>
          <w:rFonts w:ascii="Arial" w:eastAsia="Times New Roman" w:hAnsi="Arial" w:cs="Arial"/>
          <w:color w:val="000000"/>
          <w:lang w:eastAsia="en-GB"/>
        </w:rPr>
        <w:t>s</w:t>
      </w:r>
      <w:r>
        <w:rPr>
          <w:rFonts w:ascii="Arial" w:eastAsia="Times New Roman" w:hAnsi="Arial" w:cs="Arial"/>
          <w:color w:val="000000"/>
          <w:lang w:eastAsia="en-GB"/>
        </w:rPr>
        <w:t xml:space="preserve">e the risk of data breaches. </w:t>
      </w:r>
      <w:r w:rsidR="00CF700B">
        <w:rPr>
          <w:rFonts w:ascii="Arial" w:eastAsia="Times New Roman" w:hAnsi="Arial" w:cs="Arial"/>
          <w:color w:val="000000"/>
          <w:lang w:eastAsia="en-GB"/>
        </w:rPr>
        <w:t>Schools should:</w:t>
      </w:r>
    </w:p>
    <w:p w14:paraId="3CE6FC30" w14:textId="77777777" w:rsidR="00CF700B" w:rsidRDefault="00CF700B" w:rsidP="00CF700B">
      <w:pPr>
        <w:pStyle w:val="ListParagraph"/>
        <w:numPr>
          <w:ilvl w:val="0"/>
          <w:numId w:val="41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Implement internal data protection policies, e.g. staff training or reviews of internal HR policies. </w:t>
      </w:r>
    </w:p>
    <w:p w14:paraId="04658466" w14:textId="77777777" w:rsidR="00CF700B" w:rsidRDefault="00CF700B" w:rsidP="00CF700B">
      <w:pPr>
        <w:pStyle w:val="ListParagraph"/>
        <w:numPr>
          <w:ilvl w:val="0"/>
          <w:numId w:val="41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Maintain relevant documentation and processing activities. </w:t>
      </w:r>
    </w:p>
    <w:p w14:paraId="4594F10E" w14:textId="77777777" w:rsidR="00CF700B" w:rsidRDefault="00CF700B" w:rsidP="00CF700B">
      <w:pPr>
        <w:pStyle w:val="ListParagraph"/>
        <w:numPr>
          <w:ilvl w:val="0"/>
          <w:numId w:val="41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Appoint an appropriate DPO. </w:t>
      </w:r>
    </w:p>
    <w:p w14:paraId="7DF0822B" w14:textId="77777777" w:rsidR="00CF700B" w:rsidRDefault="00CF700B" w:rsidP="00CF700B">
      <w:pPr>
        <w:pStyle w:val="ListParagraph"/>
        <w:numPr>
          <w:ilvl w:val="0"/>
          <w:numId w:val="41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Implement measures that meet the principles of data protection by default, including data minimization and transparency. </w:t>
      </w:r>
    </w:p>
    <w:p w14:paraId="0EBEB4E5" w14:textId="77777777" w:rsidR="00CF700B" w:rsidRDefault="00CF700B" w:rsidP="00CF700B">
      <w:pPr>
        <w:pStyle w:val="ListParagraph"/>
        <w:numPr>
          <w:ilvl w:val="0"/>
          <w:numId w:val="41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Use data protection impact assessments where appropriate. </w:t>
      </w:r>
    </w:p>
    <w:p w14:paraId="452E5FAD" w14:textId="77777777" w:rsidR="00CF700B" w:rsidRDefault="00CF700B" w:rsidP="00CF700B">
      <w:p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b/>
          <w:color w:val="347186"/>
          <w:sz w:val="28"/>
          <w:lang w:eastAsia="en-GB"/>
        </w:rPr>
      </w:pPr>
      <w:r w:rsidRPr="00CF700B">
        <w:rPr>
          <w:rFonts w:ascii="Arial" w:eastAsia="Times New Roman" w:hAnsi="Arial" w:cs="Arial"/>
          <w:b/>
          <w:color w:val="347186"/>
          <w:sz w:val="28"/>
          <w:lang w:eastAsia="en-GB"/>
        </w:rPr>
        <w:t>DPO</w:t>
      </w:r>
    </w:p>
    <w:p w14:paraId="1F194950" w14:textId="448E678F" w:rsidR="004367CB" w:rsidRPr="004367CB" w:rsidRDefault="00CF700B" w:rsidP="007D2657">
      <w:p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7030A0"/>
          <w:lang w:eastAsia="en-GB"/>
        </w:rPr>
      </w:pPr>
      <w:r w:rsidRPr="004367CB">
        <w:rPr>
          <w:rFonts w:ascii="Arial" w:eastAsia="Times New Roman" w:hAnsi="Arial" w:cs="Arial"/>
          <w:color w:val="7030A0"/>
          <w:lang w:eastAsia="en-GB"/>
        </w:rPr>
        <w:t xml:space="preserve">The DPO for </w:t>
      </w:r>
      <w:r w:rsidR="0002415C">
        <w:rPr>
          <w:rFonts w:ascii="Arial" w:eastAsia="Times New Roman" w:hAnsi="Arial" w:cs="Arial"/>
          <w:bCs/>
          <w:color w:val="7030A0"/>
          <w:lang w:eastAsia="en-GB"/>
        </w:rPr>
        <w:t>the Trust</w:t>
      </w:r>
      <w:r w:rsidRPr="004367CB">
        <w:rPr>
          <w:rFonts w:ascii="Arial" w:eastAsia="Times New Roman" w:hAnsi="Arial" w:cs="Arial"/>
          <w:color w:val="7030A0"/>
          <w:lang w:eastAsia="en-GB"/>
        </w:rPr>
        <w:t xml:space="preserve"> is </w:t>
      </w:r>
      <w:r w:rsidR="004367CB" w:rsidRPr="004367CB">
        <w:rPr>
          <w:rFonts w:ascii="Arial" w:eastAsia="Times New Roman" w:hAnsi="Arial" w:cs="Arial"/>
          <w:b/>
          <w:color w:val="7030A0"/>
          <w:u w:val="single"/>
          <w:lang w:eastAsia="en-GB"/>
        </w:rPr>
        <w:t>Sharon Money</w:t>
      </w:r>
      <w:r w:rsidRPr="004367CB">
        <w:rPr>
          <w:rFonts w:ascii="Arial" w:eastAsia="Times New Roman" w:hAnsi="Arial" w:cs="Arial"/>
          <w:color w:val="7030A0"/>
          <w:lang w:eastAsia="en-GB"/>
        </w:rPr>
        <w:t xml:space="preserve">. Any questions that you have regarding the GDPR can be directed to </w:t>
      </w:r>
    </w:p>
    <w:p w14:paraId="281E5742" w14:textId="40161215" w:rsidR="00FA664F" w:rsidRPr="004367CB" w:rsidRDefault="004367CB" w:rsidP="007D2657">
      <w:p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7030A0"/>
          <w:lang w:eastAsia="en-GB"/>
        </w:rPr>
      </w:pPr>
      <w:r w:rsidRPr="004367CB">
        <w:rPr>
          <w:rFonts w:ascii="Arial" w:eastAsia="Times New Roman" w:hAnsi="Arial" w:cs="Arial"/>
          <w:b/>
          <w:color w:val="7030A0"/>
          <w:u w:val="single"/>
          <w:lang w:eastAsia="en-GB"/>
        </w:rPr>
        <w:t>Sharon Money</w:t>
      </w:r>
      <w:r w:rsidR="00CF700B" w:rsidRPr="004367CB">
        <w:rPr>
          <w:rFonts w:ascii="Arial" w:eastAsia="Times New Roman" w:hAnsi="Arial" w:cs="Arial"/>
          <w:color w:val="7030A0"/>
          <w:lang w:eastAsia="en-GB"/>
        </w:rPr>
        <w:t xml:space="preserve"> using </w:t>
      </w:r>
      <w:r w:rsidRPr="004367CB">
        <w:rPr>
          <w:rFonts w:ascii="Arial" w:eastAsia="Times New Roman" w:hAnsi="Arial" w:cs="Arial"/>
          <w:b/>
          <w:color w:val="7030A0"/>
          <w:u w:val="single"/>
          <w:lang w:eastAsia="en-GB"/>
        </w:rPr>
        <w:t xml:space="preserve">01603 </w:t>
      </w:r>
      <w:r w:rsidR="004F1A14">
        <w:rPr>
          <w:rFonts w:ascii="Arial" w:eastAsia="Times New Roman" w:hAnsi="Arial" w:cs="Arial"/>
          <w:b/>
          <w:color w:val="7030A0"/>
          <w:u w:val="single"/>
          <w:lang w:eastAsia="en-GB"/>
        </w:rPr>
        <w:t>550150</w:t>
      </w:r>
    </w:p>
    <w:sectPr w:rsidR="00FA664F" w:rsidRPr="004367CB" w:rsidSect="00261249">
      <w:headerReference w:type="first" r:id="rId11"/>
      <w:footerReference w:type="first" r:id="rId12"/>
      <w:type w:val="continuous"/>
      <w:pgSz w:w="15840" w:h="12240" w:orient="landscape" w:code="1"/>
      <w:pgMar w:top="709" w:right="720" w:bottom="284" w:left="720" w:header="431" w:footer="578" w:gutter="0"/>
      <w:cols w:num="3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D2AB" w14:textId="77777777" w:rsidR="00077DF8" w:rsidRDefault="00077DF8">
      <w:pPr>
        <w:spacing w:after="0" w:line="240" w:lineRule="auto"/>
      </w:pPr>
      <w:r>
        <w:separator/>
      </w:r>
    </w:p>
  </w:endnote>
  <w:endnote w:type="continuationSeparator" w:id="0">
    <w:p w14:paraId="11A70358" w14:textId="77777777" w:rsidR="00077DF8" w:rsidRDefault="0007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12F6" w14:textId="77777777" w:rsidR="00D66072" w:rsidRDefault="00D66072">
    <w:pPr>
      <w:pStyle w:val="Footer"/>
      <w:rPr>
        <w:rFonts w:ascii="Arial" w:hAnsi="Arial" w:cs="Arial"/>
        <w:sz w:val="20"/>
      </w:rPr>
    </w:pPr>
  </w:p>
  <w:p w14:paraId="6167306C" w14:textId="33A86EA8" w:rsidR="002C3E2F" w:rsidRPr="0079527F" w:rsidRDefault="002C3E2F" w:rsidP="006C4895">
    <w:pPr>
      <w:pStyle w:val="Footer"/>
      <w:ind w:left="9360" w:firstLine="720"/>
      <w:rPr>
        <w:rFonts w:ascii="Arial" w:hAnsi="Arial" w:cs="Arial"/>
        <w:sz w:val="20"/>
      </w:rPr>
    </w:pPr>
    <w:r w:rsidRPr="0079527F">
      <w:rPr>
        <w:rFonts w:ascii="Arial" w:hAnsi="Arial" w:cs="Arial"/>
        <w:sz w:val="20"/>
      </w:rPr>
      <w:t xml:space="preserve">Last updated: </w:t>
    </w:r>
    <w:r w:rsidR="004F1A14">
      <w:rPr>
        <w:rFonts w:ascii="Arial" w:hAnsi="Arial" w:cs="Arial"/>
        <w:sz w:val="20"/>
      </w:rPr>
      <w:t xml:space="preserve">1 </w:t>
    </w:r>
    <w:r w:rsidR="007022C3">
      <w:rPr>
        <w:rFonts w:ascii="Arial" w:hAnsi="Arial" w:cs="Arial"/>
        <w:sz w:val="20"/>
      </w:rPr>
      <w:t>March</w:t>
    </w:r>
    <w:r w:rsidR="004F1A14">
      <w:rPr>
        <w:rFonts w:ascii="Arial" w:hAnsi="Arial" w:cs="Arial"/>
        <w:sz w:val="20"/>
      </w:rPr>
      <w:t xml:space="preserve"> 2022</w:t>
    </w:r>
  </w:p>
  <w:p w14:paraId="4EB97CE5" w14:textId="77777777" w:rsidR="002C3E2F" w:rsidRDefault="002C3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5B23" w14:textId="77777777" w:rsidR="00077DF8" w:rsidRDefault="00077DF8">
      <w:pPr>
        <w:spacing w:after="0" w:line="240" w:lineRule="auto"/>
      </w:pPr>
      <w:r>
        <w:separator/>
      </w:r>
    </w:p>
  </w:footnote>
  <w:footnote w:type="continuationSeparator" w:id="0">
    <w:p w14:paraId="2EADDA9E" w14:textId="77777777" w:rsidR="00077DF8" w:rsidRDefault="0007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22B5" w14:textId="77777777" w:rsidR="006C4895" w:rsidRPr="006C4895" w:rsidRDefault="006C4895" w:rsidP="006C4895">
    <w:pPr>
      <w:pStyle w:val="Header"/>
      <w:tabs>
        <w:tab w:val="left" w:pos="10980"/>
      </w:tabs>
      <w:rPr>
        <w:rFonts w:ascii="Arial" w:hAnsi="Arial" w:cs="Aria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in;height:5in" o:bullet="t">
        <v:imagedata r:id="rId1" o:title="RedX"/>
      </v:shape>
    </w:pict>
  </w:numPicBullet>
  <w:numPicBullet w:numPicBulletId="1">
    <w:pict>
      <v:shape id="_x0000_i1037" type="#_x0000_t75" style="width:451.5pt;height:513.75pt" o:bullet="t">
        <v:imagedata r:id="rId2" o:title="Green-tick-simple-45294-large[1]"/>
      </v:shape>
    </w:pict>
  </w:numPicBullet>
  <w:abstractNum w:abstractNumId="0" w15:restartNumberingAfterBreak="0">
    <w:nsid w:val="015263C7"/>
    <w:multiLevelType w:val="hybridMultilevel"/>
    <w:tmpl w:val="7CAAFD84"/>
    <w:lvl w:ilvl="0" w:tplc="979849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746D"/>
    <w:multiLevelType w:val="hybridMultilevel"/>
    <w:tmpl w:val="B258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9D9"/>
    <w:multiLevelType w:val="multilevel"/>
    <w:tmpl w:val="2DCAEA50"/>
    <w:styleLink w:val="LFO8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20F19B1"/>
    <w:multiLevelType w:val="hybridMultilevel"/>
    <w:tmpl w:val="8360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01FA0"/>
    <w:multiLevelType w:val="hybridMultilevel"/>
    <w:tmpl w:val="0F2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67C61"/>
    <w:multiLevelType w:val="multilevel"/>
    <w:tmpl w:val="F07A39E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727413"/>
    <w:multiLevelType w:val="multilevel"/>
    <w:tmpl w:val="ACDAA9EC"/>
    <w:styleLink w:val="LFO6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746602"/>
    <w:multiLevelType w:val="multilevel"/>
    <w:tmpl w:val="5784C416"/>
    <w:styleLink w:val="LFO14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  <w:color w:val="2B747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4E53F08"/>
    <w:multiLevelType w:val="hybridMultilevel"/>
    <w:tmpl w:val="BAB2C146"/>
    <w:lvl w:ilvl="0" w:tplc="101E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13A48"/>
    <w:multiLevelType w:val="hybridMultilevel"/>
    <w:tmpl w:val="1B78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548A3"/>
    <w:multiLevelType w:val="multilevel"/>
    <w:tmpl w:val="D73E0988"/>
    <w:styleLink w:val="LFO13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62E0CCA"/>
    <w:multiLevelType w:val="multilevel"/>
    <w:tmpl w:val="824626DA"/>
    <w:styleLink w:val="LFO7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9A21B0D"/>
    <w:multiLevelType w:val="multilevel"/>
    <w:tmpl w:val="F4C24658"/>
    <w:styleLink w:val="LFO1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2FC5C35"/>
    <w:multiLevelType w:val="hybridMultilevel"/>
    <w:tmpl w:val="5672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14409"/>
    <w:multiLevelType w:val="hybridMultilevel"/>
    <w:tmpl w:val="B1C2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061EB"/>
    <w:multiLevelType w:val="hybridMultilevel"/>
    <w:tmpl w:val="669A8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96855"/>
    <w:multiLevelType w:val="hybridMultilevel"/>
    <w:tmpl w:val="86F6F0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1652AAE"/>
    <w:multiLevelType w:val="hybridMultilevel"/>
    <w:tmpl w:val="032C2F8C"/>
    <w:lvl w:ilvl="0" w:tplc="101E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03417"/>
    <w:multiLevelType w:val="hybridMultilevel"/>
    <w:tmpl w:val="1E227B8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2C86F0E"/>
    <w:multiLevelType w:val="hybridMultilevel"/>
    <w:tmpl w:val="90081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C560D"/>
    <w:multiLevelType w:val="hybridMultilevel"/>
    <w:tmpl w:val="F1504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F161E"/>
    <w:multiLevelType w:val="multilevel"/>
    <w:tmpl w:val="3D66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5C73B6"/>
    <w:multiLevelType w:val="multilevel"/>
    <w:tmpl w:val="CA2449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3C3618F8"/>
    <w:multiLevelType w:val="multilevel"/>
    <w:tmpl w:val="39B682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3E352EE4"/>
    <w:multiLevelType w:val="hybridMultilevel"/>
    <w:tmpl w:val="3892A4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21E2F47"/>
    <w:multiLevelType w:val="hybridMultilevel"/>
    <w:tmpl w:val="FF1C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64B4E"/>
    <w:multiLevelType w:val="multilevel"/>
    <w:tmpl w:val="4F62E89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438209ED"/>
    <w:multiLevelType w:val="hybridMultilevel"/>
    <w:tmpl w:val="F43A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565D3"/>
    <w:multiLevelType w:val="hybridMultilevel"/>
    <w:tmpl w:val="4EE8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774D2"/>
    <w:multiLevelType w:val="hybridMultilevel"/>
    <w:tmpl w:val="EB0E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04846"/>
    <w:multiLevelType w:val="multilevel"/>
    <w:tmpl w:val="D0AA8DE4"/>
    <w:styleLink w:val="LFO9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0675189"/>
    <w:multiLevelType w:val="multilevel"/>
    <w:tmpl w:val="88E68036"/>
    <w:styleLink w:val="LFO4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35E78CE"/>
    <w:multiLevelType w:val="hybridMultilevel"/>
    <w:tmpl w:val="8744A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2599D"/>
    <w:multiLevelType w:val="hybridMultilevel"/>
    <w:tmpl w:val="C66A559E"/>
    <w:lvl w:ilvl="0" w:tplc="101E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17EFD"/>
    <w:multiLevelType w:val="multilevel"/>
    <w:tmpl w:val="23CA7AEC"/>
    <w:styleLink w:val="LFO11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650F5011"/>
    <w:multiLevelType w:val="multilevel"/>
    <w:tmpl w:val="A5369D7A"/>
    <w:styleLink w:val="LFO10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A201169"/>
    <w:multiLevelType w:val="hybridMultilevel"/>
    <w:tmpl w:val="37C61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44329"/>
    <w:multiLevelType w:val="multilevel"/>
    <w:tmpl w:val="9FB0D46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6B4219C3"/>
    <w:multiLevelType w:val="hybridMultilevel"/>
    <w:tmpl w:val="F256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E7E86"/>
    <w:multiLevelType w:val="hybridMultilevel"/>
    <w:tmpl w:val="6320376A"/>
    <w:lvl w:ilvl="0" w:tplc="CD92DA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13DE8"/>
    <w:multiLevelType w:val="hybridMultilevel"/>
    <w:tmpl w:val="7BCE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D07B3"/>
    <w:multiLevelType w:val="hybridMultilevel"/>
    <w:tmpl w:val="0694C12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BC10110"/>
    <w:multiLevelType w:val="hybridMultilevel"/>
    <w:tmpl w:val="BD26D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11"/>
  </w:num>
  <w:num w:numId="4">
    <w:abstractNumId w:val="2"/>
  </w:num>
  <w:num w:numId="5">
    <w:abstractNumId w:val="30"/>
  </w:num>
  <w:num w:numId="6">
    <w:abstractNumId w:val="35"/>
  </w:num>
  <w:num w:numId="7">
    <w:abstractNumId w:val="34"/>
  </w:num>
  <w:num w:numId="8">
    <w:abstractNumId w:val="12"/>
  </w:num>
  <w:num w:numId="9">
    <w:abstractNumId w:val="10"/>
  </w:num>
  <w:num w:numId="10">
    <w:abstractNumId w:val="7"/>
  </w:num>
  <w:num w:numId="11">
    <w:abstractNumId w:val="23"/>
  </w:num>
  <w:num w:numId="12">
    <w:abstractNumId w:val="26"/>
  </w:num>
  <w:num w:numId="13">
    <w:abstractNumId w:val="5"/>
  </w:num>
  <w:num w:numId="14">
    <w:abstractNumId w:val="22"/>
  </w:num>
  <w:num w:numId="15">
    <w:abstractNumId w:val="37"/>
  </w:num>
  <w:num w:numId="16">
    <w:abstractNumId w:val="4"/>
  </w:num>
  <w:num w:numId="17">
    <w:abstractNumId w:val="25"/>
  </w:num>
  <w:num w:numId="18">
    <w:abstractNumId w:val="36"/>
  </w:num>
  <w:num w:numId="19">
    <w:abstractNumId w:val="0"/>
  </w:num>
  <w:num w:numId="20">
    <w:abstractNumId w:val="39"/>
  </w:num>
  <w:num w:numId="21">
    <w:abstractNumId w:val="24"/>
  </w:num>
  <w:num w:numId="22">
    <w:abstractNumId w:val="42"/>
  </w:num>
  <w:num w:numId="23">
    <w:abstractNumId w:val="28"/>
  </w:num>
  <w:num w:numId="24">
    <w:abstractNumId w:val="40"/>
  </w:num>
  <w:num w:numId="25">
    <w:abstractNumId w:val="13"/>
  </w:num>
  <w:num w:numId="26">
    <w:abstractNumId w:val="19"/>
  </w:num>
  <w:num w:numId="27">
    <w:abstractNumId w:val="20"/>
  </w:num>
  <w:num w:numId="28">
    <w:abstractNumId w:val="32"/>
  </w:num>
  <w:num w:numId="29">
    <w:abstractNumId w:val="15"/>
  </w:num>
  <w:num w:numId="30">
    <w:abstractNumId w:val="21"/>
  </w:num>
  <w:num w:numId="31">
    <w:abstractNumId w:val="14"/>
  </w:num>
  <w:num w:numId="32">
    <w:abstractNumId w:val="9"/>
  </w:num>
  <w:num w:numId="33">
    <w:abstractNumId w:val="18"/>
  </w:num>
  <w:num w:numId="34">
    <w:abstractNumId w:val="41"/>
  </w:num>
  <w:num w:numId="35">
    <w:abstractNumId w:val="16"/>
  </w:num>
  <w:num w:numId="36">
    <w:abstractNumId w:val="29"/>
  </w:num>
  <w:num w:numId="37">
    <w:abstractNumId w:val="27"/>
  </w:num>
  <w:num w:numId="38">
    <w:abstractNumId w:val="3"/>
  </w:num>
  <w:num w:numId="39">
    <w:abstractNumId w:val="1"/>
  </w:num>
  <w:num w:numId="40">
    <w:abstractNumId w:val="33"/>
  </w:num>
  <w:num w:numId="41">
    <w:abstractNumId w:val="17"/>
  </w:num>
  <w:num w:numId="42">
    <w:abstractNumId w:val="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U2NrO0NDc3tTQxMbRU0lEKTi0uzszPAykwNKoFAC7vh9gtAAAA"/>
  </w:docVars>
  <w:rsids>
    <w:rsidRoot w:val="00FE13DA"/>
    <w:rsid w:val="00002419"/>
    <w:rsid w:val="00004718"/>
    <w:rsid w:val="00007437"/>
    <w:rsid w:val="00011D9A"/>
    <w:rsid w:val="000209BC"/>
    <w:rsid w:val="0002415C"/>
    <w:rsid w:val="00025D99"/>
    <w:rsid w:val="00025EBF"/>
    <w:rsid w:val="0002731C"/>
    <w:rsid w:val="00031445"/>
    <w:rsid w:val="00031569"/>
    <w:rsid w:val="00045BF6"/>
    <w:rsid w:val="00054175"/>
    <w:rsid w:val="000609AE"/>
    <w:rsid w:val="000665A3"/>
    <w:rsid w:val="000678DE"/>
    <w:rsid w:val="00067F38"/>
    <w:rsid w:val="0007174C"/>
    <w:rsid w:val="00072392"/>
    <w:rsid w:val="000778D9"/>
    <w:rsid w:val="00077DF8"/>
    <w:rsid w:val="00085929"/>
    <w:rsid w:val="00096887"/>
    <w:rsid w:val="00097EA8"/>
    <w:rsid w:val="000A4F7A"/>
    <w:rsid w:val="000A5D41"/>
    <w:rsid w:val="000A7230"/>
    <w:rsid w:val="000A795A"/>
    <w:rsid w:val="000C0173"/>
    <w:rsid w:val="000C0AD8"/>
    <w:rsid w:val="000C1827"/>
    <w:rsid w:val="000C6DA2"/>
    <w:rsid w:val="000D2B03"/>
    <w:rsid w:val="000D52A2"/>
    <w:rsid w:val="000D7770"/>
    <w:rsid w:val="000E449A"/>
    <w:rsid w:val="000E69B5"/>
    <w:rsid w:val="000F309F"/>
    <w:rsid w:val="000F74CE"/>
    <w:rsid w:val="00102352"/>
    <w:rsid w:val="0010295A"/>
    <w:rsid w:val="001065EC"/>
    <w:rsid w:val="00123CF6"/>
    <w:rsid w:val="0012626E"/>
    <w:rsid w:val="00126760"/>
    <w:rsid w:val="001271F3"/>
    <w:rsid w:val="00127D2F"/>
    <w:rsid w:val="0013320F"/>
    <w:rsid w:val="0013333D"/>
    <w:rsid w:val="00133F0C"/>
    <w:rsid w:val="001429F2"/>
    <w:rsid w:val="00143ECF"/>
    <w:rsid w:val="00151AE6"/>
    <w:rsid w:val="00152FD4"/>
    <w:rsid w:val="001565C2"/>
    <w:rsid w:val="00164757"/>
    <w:rsid w:val="00164B79"/>
    <w:rsid w:val="00165F00"/>
    <w:rsid w:val="001707CA"/>
    <w:rsid w:val="001711AE"/>
    <w:rsid w:val="00173F4F"/>
    <w:rsid w:val="001742AC"/>
    <w:rsid w:val="00184232"/>
    <w:rsid w:val="00185CC7"/>
    <w:rsid w:val="00186D1B"/>
    <w:rsid w:val="0019428F"/>
    <w:rsid w:val="00195156"/>
    <w:rsid w:val="001A0726"/>
    <w:rsid w:val="001B0A93"/>
    <w:rsid w:val="001B72C0"/>
    <w:rsid w:val="001C6169"/>
    <w:rsid w:val="001D36BA"/>
    <w:rsid w:val="001D6721"/>
    <w:rsid w:val="001F390B"/>
    <w:rsid w:val="001F7D05"/>
    <w:rsid w:val="00201CED"/>
    <w:rsid w:val="002030B8"/>
    <w:rsid w:val="0021170D"/>
    <w:rsid w:val="002132AC"/>
    <w:rsid w:val="00214A67"/>
    <w:rsid w:val="00214DD7"/>
    <w:rsid w:val="002203B4"/>
    <w:rsid w:val="00220957"/>
    <w:rsid w:val="00222221"/>
    <w:rsid w:val="00223FD2"/>
    <w:rsid w:val="0023144D"/>
    <w:rsid w:val="002426F3"/>
    <w:rsid w:val="002431A1"/>
    <w:rsid w:val="00247F54"/>
    <w:rsid w:val="00261249"/>
    <w:rsid w:val="002638B4"/>
    <w:rsid w:val="0026528A"/>
    <w:rsid w:val="00271D8B"/>
    <w:rsid w:val="002756BC"/>
    <w:rsid w:val="00276B5A"/>
    <w:rsid w:val="00277152"/>
    <w:rsid w:val="002817C7"/>
    <w:rsid w:val="00284B9D"/>
    <w:rsid w:val="002A1C48"/>
    <w:rsid w:val="002A6AE1"/>
    <w:rsid w:val="002A765A"/>
    <w:rsid w:val="002B15F2"/>
    <w:rsid w:val="002B2C10"/>
    <w:rsid w:val="002B3EA8"/>
    <w:rsid w:val="002B4BE2"/>
    <w:rsid w:val="002B72C9"/>
    <w:rsid w:val="002B7750"/>
    <w:rsid w:val="002B79E7"/>
    <w:rsid w:val="002C298A"/>
    <w:rsid w:val="002C3E2F"/>
    <w:rsid w:val="002C4AD8"/>
    <w:rsid w:val="002C595B"/>
    <w:rsid w:val="002E06EB"/>
    <w:rsid w:val="002E613B"/>
    <w:rsid w:val="002E6D19"/>
    <w:rsid w:val="002F7795"/>
    <w:rsid w:val="00305BE8"/>
    <w:rsid w:val="0031048B"/>
    <w:rsid w:val="00313DF6"/>
    <w:rsid w:val="003209AC"/>
    <w:rsid w:val="0032406A"/>
    <w:rsid w:val="003264B9"/>
    <w:rsid w:val="00333A75"/>
    <w:rsid w:val="00336AEE"/>
    <w:rsid w:val="003464A1"/>
    <w:rsid w:val="00346F35"/>
    <w:rsid w:val="00351E8B"/>
    <w:rsid w:val="0035528A"/>
    <w:rsid w:val="00362CE7"/>
    <w:rsid w:val="00364868"/>
    <w:rsid w:val="003661B0"/>
    <w:rsid w:val="00370F25"/>
    <w:rsid w:val="00384FC2"/>
    <w:rsid w:val="003878E1"/>
    <w:rsid w:val="00387E37"/>
    <w:rsid w:val="003910CC"/>
    <w:rsid w:val="003914C4"/>
    <w:rsid w:val="003927B7"/>
    <w:rsid w:val="0039524F"/>
    <w:rsid w:val="003A4D6B"/>
    <w:rsid w:val="003A7C50"/>
    <w:rsid w:val="003B04CE"/>
    <w:rsid w:val="003B0D0D"/>
    <w:rsid w:val="003C0E5A"/>
    <w:rsid w:val="003C76DF"/>
    <w:rsid w:val="003C78D3"/>
    <w:rsid w:val="003D1D0B"/>
    <w:rsid w:val="003D3511"/>
    <w:rsid w:val="003E05E5"/>
    <w:rsid w:val="003E0766"/>
    <w:rsid w:val="003E4862"/>
    <w:rsid w:val="003E697D"/>
    <w:rsid w:val="003F36D6"/>
    <w:rsid w:val="003F5D55"/>
    <w:rsid w:val="003F6C1B"/>
    <w:rsid w:val="0040042E"/>
    <w:rsid w:val="0041134D"/>
    <w:rsid w:val="00415258"/>
    <w:rsid w:val="00416276"/>
    <w:rsid w:val="004274AA"/>
    <w:rsid w:val="00427E70"/>
    <w:rsid w:val="004347C2"/>
    <w:rsid w:val="0043606F"/>
    <w:rsid w:val="0043652E"/>
    <w:rsid w:val="004367CB"/>
    <w:rsid w:val="0043704C"/>
    <w:rsid w:val="00445498"/>
    <w:rsid w:val="00452B62"/>
    <w:rsid w:val="00457C5D"/>
    <w:rsid w:val="00460AB5"/>
    <w:rsid w:val="00462A77"/>
    <w:rsid w:val="0046388D"/>
    <w:rsid w:val="004651C9"/>
    <w:rsid w:val="00467168"/>
    <w:rsid w:val="00472E09"/>
    <w:rsid w:val="00474C94"/>
    <w:rsid w:val="0047585E"/>
    <w:rsid w:val="004758E9"/>
    <w:rsid w:val="00482619"/>
    <w:rsid w:val="00482931"/>
    <w:rsid w:val="00483113"/>
    <w:rsid w:val="00485EF2"/>
    <w:rsid w:val="00486610"/>
    <w:rsid w:val="004A1BD1"/>
    <w:rsid w:val="004A2C3D"/>
    <w:rsid w:val="004B4DCA"/>
    <w:rsid w:val="004B65C2"/>
    <w:rsid w:val="004C0CDA"/>
    <w:rsid w:val="004C70F9"/>
    <w:rsid w:val="004D525E"/>
    <w:rsid w:val="004D7BA2"/>
    <w:rsid w:val="004E69E4"/>
    <w:rsid w:val="004F1A14"/>
    <w:rsid w:val="004F2F76"/>
    <w:rsid w:val="004F7120"/>
    <w:rsid w:val="004F75CD"/>
    <w:rsid w:val="005008F1"/>
    <w:rsid w:val="00501A89"/>
    <w:rsid w:val="005024A9"/>
    <w:rsid w:val="0050379A"/>
    <w:rsid w:val="00510B03"/>
    <w:rsid w:val="00516E2A"/>
    <w:rsid w:val="00545CF5"/>
    <w:rsid w:val="0054796F"/>
    <w:rsid w:val="00555BF2"/>
    <w:rsid w:val="005561AA"/>
    <w:rsid w:val="00564CB3"/>
    <w:rsid w:val="00564DCB"/>
    <w:rsid w:val="0057281E"/>
    <w:rsid w:val="005732B7"/>
    <w:rsid w:val="005739F3"/>
    <w:rsid w:val="00574811"/>
    <w:rsid w:val="005804B9"/>
    <w:rsid w:val="00591873"/>
    <w:rsid w:val="005A0FED"/>
    <w:rsid w:val="005B4C8D"/>
    <w:rsid w:val="005C02F9"/>
    <w:rsid w:val="005C26C9"/>
    <w:rsid w:val="005C692C"/>
    <w:rsid w:val="005D55B1"/>
    <w:rsid w:val="005E3CCA"/>
    <w:rsid w:val="005E7406"/>
    <w:rsid w:val="005F0D4C"/>
    <w:rsid w:val="005F3D3F"/>
    <w:rsid w:val="005F62A5"/>
    <w:rsid w:val="00600A88"/>
    <w:rsid w:val="00601127"/>
    <w:rsid w:val="00603A6C"/>
    <w:rsid w:val="00607933"/>
    <w:rsid w:val="006124B0"/>
    <w:rsid w:val="00614C5D"/>
    <w:rsid w:val="00615729"/>
    <w:rsid w:val="006170DC"/>
    <w:rsid w:val="00617EA8"/>
    <w:rsid w:val="00631B60"/>
    <w:rsid w:val="006453A0"/>
    <w:rsid w:val="0065143D"/>
    <w:rsid w:val="00652595"/>
    <w:rsid w:val="0065441D"/>
    <w:rsid w:val="00655896"/>
    <w:rsid w:val="00655AA0"/>
    <w:rsid w:val="00662345"/>
    <w:rsid w:val="006714A4"/>
    <w:rsid w:val="00682D74"/>
    <w:rsid w:val="00690862"/>
    <w:rsid w:val="006913DC"/>
    <w:rsid w:val="006928AB"/>
    <w:rsid w:val="006937CB"/>
    <w:rsid w:val="006A263D"/>
    <w:rsid w:val="006A4BBA"/>
    <w:rsid w:val="006A799D"/>
    <w:rsid w:val="006B2AC5"/>
    <w:rsid w:val="006B465F"/>
    <w:rsid w:val="006B4C55"/>
    <w:rsid w:val="006B6722"/>
    <w:rsid w:val="006C4862"/>
    <w:rsid w:val="006C4895"/>
    <w:rsid w:val="006C7D55"/>
    <w:rsid w:val="006D1BA2"/>
    <w:rsid w:val="006D5CB1"/>
    <w:rsid w:val="006D6D1B"/>
    <w:rsid w:val="006E0823"/>
    <w:rsid w:val="006E1ABB"/>
    <w:rsid w:val="006E261A"/>
    <w:rsid w:val="006E3AD9"/>
    <w:rsid w:val="006F28D5"/>
    <w:rsid w:val="006F2DB1"/>
    <w:rsid w:val="007022C3"/>
    <w:rsid w:val="007142EC"/>
    <w:rsid w:val="00716AB0"/>
    <w:rsid w:val="007240E2"/>
    <w:rsid w:val="00725C2E"/>
    <w:rsid w:val="00726870"/>
    <w:rsid w:val="00730300"/>
    <w:rsid w:val="0074112E"/>
    <w:rsid w:val="00744733"/>
    <w:rsid w:val="00750216"/>
    <w:rsid w:val="0075364C"/>
    <w:rsid w:val="00755E8F"/>
    <w:rsid w:val="007579C6"/>
    <w:rsid w:val="00761440"/>
    <w:rsid w:val="007618A1"/>
    <w:rsid w:val="007703FF"/>
    <w:rsid w:val="00777CA5"/>
    <w:rsid w:val="00785B56"/>
    <w:rsid w:val="00791C66"/>
    <w:rsid w:val="00794CE2"/>
    <w:rsid w:val="0079527F"/>
    <w:rsid w:val="007966A0"/>
    <w:rsid w:val="007A1A26"/>
    <w:rsid w:val="007A300A"/>
    <w:rsid w:val="007A3716"/>
    <w:rsid w:val="007A3871"/>
    <w:rsid w:val="007A7E29"/>
    <w:rsid w:val="007B670B"/>
    <w:rsid w:val="007C2259"/>
    <w:rsid w:val="007D0443"/>
    <w:rsid w:val="007D2657"/>
    <w:rsid w:val="007E23FA"/>
    <w:rsid w:val="008047A2"/>
    <w:rsid w:val="00810C79"/>
    <w:rsid w:val="00811B5C"/>
    <w:rsid w:val="00814E82"/>
    <w:rsid w:val="0082763D"/>
    <w:rsid w:val="0083622F"/>
    <w:rsid w:val="0084473A"/>
    <w:rsid w:val="008447B5"/>
    <w:rsid w:val="00850162"/>
    <w:rsid w:val="00851B68"/>
    <w:rsid w:val="00853983"/>
    <w:rsid w:val="00856F57"/>
    <w:rsid w:val="008661E9"/>
    <w:rsid w:val="00866BBA"/>
    <w:rsid w:val="008679D0"/>
    <w:rsid w:val="00880305"/>
    <w:rsid w:val="00891861"/>
    <w:rsid w:val="008935BD"/>
    <w:rsid w:val="00894592"/>
    <w:rsid w:val="008A1BF4"/>
    <w:rsid w:val="008A3FDB"/>
    <w:rsid w:val="008A7929"/>
    <w:rsid w:val="008B60E2"/>
    <w:rsid w:val="008C08B2"/>
    <w:rsid w:val="008C18AB"/>
    <w:rsid w:val="008C3190"/>
    <w:rsid w:val="008C3AB4"/>
    <w:rsid w:val="008C56F0"/>
    <w:rsid w:val="008D79F5"/>
    <w:rsid w:val="008E41C1"/>
    <w:rsid w:val="008E6493"/>
    <w:rsid w:val="008F20CB"/>
    <w:rsid w:val="008F693A"/>
    <w:rsid w:val="00901C9D"/>
    <w:rsid w:val="00902891"/>
    <w:rsid w:val="00907BAD"/>
    <w:rsid w:val="00911CA6"/>
    <w:rsid w:val="009166A3"/>
    <w:rsid w:val="00916A65"/>
    <w:rsid w:val="00923316"/>
    <w:rsid w:val="009254DE"/>
    <w:rsid w:val="00925C49"/>
    <w:rsid w:val="0092605C"/>
    <w:rsid w:val="00926C2A"/>
    <w:rsid w:val="00932CE2"/>
    <w:rsid w:val="009457AF"/>
    <w:rsid w:val="00950F69"/>
    <w:rsid w:val="00964A96"/>
    <w:rsid w:val="00965C59"/>
    <w:rsid w:val="00967925"/>
    <w:rsid w:val="00973C58"/>
    <w:rsid w:val="009749D3"/>
    <w:rsid w:val="00987EF0"/>
    <w:rsid w:val="009943F2"/>
    <w:rsid w:val="00995402"/>
    <w:rsid w:val="009A4D48"/>
    <w:rsid w:val="009A588A"/>
    <w:rsid w:val="009A7A9E"/>
    <w:rsid w:val="009B0445"/>
    <w:rsid w:val="009B2CAA"/>
    <w:rsid w:val="009B320B"/>
    <w:rsid w:val="009B3FA0"/>
    <w:rsid w:val="009C23E4"/>
    <w:rsid w:val="009D31D0"/>
    <w:rsid w:val="009D4765"/>
    <w:rsid w:val="009D7F87"/>
    <w:rsid w:val="009E014F"/>
    <w:rsid w:val="009E74FE"/>
    <w:rsid w:val="009F33EB"/>
    <w:rsid w:val="009F4B80"/>
    <w:rsid w:val="00A049E3"/>
    <w:rsid w:val="00A0518B"/>
    <w:rsid w:val="00A07C7D"/>
    <w:rsid w:val="00A152FA"/>
    <w:rsid w:val="00A16AB8"/>
    <w:rsid w:val="00A2183D"/>
    <w:rsid w:val="00A239AB"/>
    <w:rsid w:val="00A30F5F"/>
    <w:rsid w:val="00A35BAC"/>
    <w:rsid w:val="00A36024"/>
    <w:rsid w:val="00A53196"/>
    <w:rsid w:val="00A55FA8"/>
    <w:rsid w:val="00A5797F"/>
    <w:rsid w:val="00A613E6"/>
    <w:rsid w:val="00A6418A"/>
    <w:rsid w:val="00A6671A"/>
    <w:rsid w:val="00A7412F"/>
    <w:rsid w:val="00A82C63"/>
    <w:rsid w:val="00A83340"/>
    <w:rsid w:val="00A83BA0"/>
    <w:rsid w:val="00A843DD"/>
    <w:rsid w:val="00A903CA"/>
    <w:rsid w:val="00AA0D10"/>
    <w:rsid w:val="00AA22D1"/>
    <w:rsid w:val="00AA319A"/>
    <w:rsid w:val="00AA7FFC"/>
    <w:rsid w:val="00AB79F3"/>
    <w:rsid w:val="00AC33DD"/>
    <w:rsid w:val="00AC5CBA"/>
    <w:rsid w:val="00AC7AF9"/>
    <w:rsid w:val="00AD33C3"/>
    <w:rsid w:val="00AD51C7"/>
    <w:rsid w:val="00AD6297"/>
    <w:rsid w:val="00AE27DC"/>
    <w:rsid w:val="00AE4EC4"/>
    <w:rsid w:val="00AE6CCD"/>
    <w:rsid w:val="00AF0C84"/>
    <w:rsid w:val="00AF2944"/>
    <w:rsid w:val="00AF3B68"/>
    <w:rsid w:val="00AF40BE"/>
    <w:rsid w:val="00AF40E6"/>
    <w:rsid w:val="00AF5AE6"/>
    <w:rsid w:val="00B00513"/>
    <w:rsid w:val="00B0496D"/>
    <w:rsid w:val="00B12727"/>
    <w:rsid w:val="00B1611A"/>
    <w:rsid w:val="00B27345"/>
    <w:rsid w:val="00B3618A"/>
    <w:rsid w:val="00B41E37"/>
    <w:rsid w:val="00B466C0"/>
    <w:rsid w:val="00B565CC"/>
    <w:rsid w:val="00B671C3"/>
    <w:rsid w:val="00B711CC"/>
    <w:rsid w:val="00B75CFA"/>
    <w:rsid w:val="00B80527"/>
    <w:rsid w:val="00B836D6"/>
    <w:rsid w:val="00B84CDD"/>
    <w:rsid w:val="00B85783"/>
    <w:rsid w:val="00B930D5"/>
    <w:rsid w:val="00BA08D0"/>
    <w:rsid w:val="00BA2E45"/>
    <w:rsid w:val="00BA4478"/>
    <w:rsid w:val="00BA48B8"/>
    <w:rsid w:val="00BA7332"/>
    <w:rsid w:val="00BB1FD4"/>
    <w:rsid w:val="00BB62E8"/>
    <w:rsid w:val="00BC1592"/>
    <w:rsid w:val="00BC1C99"/>
    <w:rsid w:val="00BC2958"/>
    <w:rsid w:val="00BC3DDA"/>
    <w:rsid w:val="00BC64D1"/>
    <w:rsid w:val="00BD0F00"/>
    <w:rsid w:val="00BD1609"/>
    <w:rsid w:val="00BF0E1B"/>
    <w:rsid w:val="00BF4714"/>
    <w:rsid w:val="00C00E76"/>
    <w:rsid w:val="00C2604C"/>
    <w:rsid w:val="00C32A13"/>
    <w:rsid w:val="00C338D1"/>
    <w:rsid w:val="00C34944"/>
    <w:rsid w:val="00C352B9"/>
    <w:rsid w:val="00C377A9"/>
    <w:rsid w:val="00C40AA4"/>
    <w:rsid w:val="00C548B9"/>
    <w:rsid w:val="00C54CD9"/>
    <w:rsid w:val="00C56757"/>
    <w:rsid w:val="00C578BE"/>
    <w:rsid w:val="00C57C69"/>
    <w:rsid w:val="00C63B18"/>
    <w:rsid w:val="00C658BB"/>
    <w:rsid w:val="00C70AA9"/>
    <w:rsid w:val="00C74F7A"/>
    <w:rsid w:val="00C77C48"/>
    <w:rsid w:val="00C82D1C"/>
    <w:rsid w:val="00C842C2"/>
    <w:rsid w:val="00C91E6C"/>
    <w:rsid w:val="00C956C0"/>
    <w:rsid w:val="00CA021F"/>
    <w:rsid w:val="00CA28D9"/>
    <w:rsid w:val="00CA543C"/>
    <w:rsid w:val="00CA6798"/>
    <w:rsid w:val="00CB18D1"/>
    <w:rsid w:val="00CC2433"/>
    <w:rsid w:val="00CD4554"/>
    <w:rsid w:val="00CD5FD8"/>
    <w:rsid w:val="00CE0B3C"/>
    <w:rsid w:val="00CE2F6C"/>
    <w:rsid w:val="00CF1DBE"/>
    <w:rsid w:val="00CF2021"/>
    <w:rsid w:val="00CF700B"/>
    <w:rsid w:val="00D03639"/>
    <w:rsid w:val="00D04B4D"/>
    <w:rsid w:val="00D052B9"/>
    <w:rsid w:val="00D05AB8"/>
    <w:rsid w:val="00D07812"/>
    <w:rsid w:val="00D10B00"/>
    <w:rsid w:val="00D10D22"/>
    <w:rsid w:val="00D11430"/>
    <w:rsid w:val="00D1689F"/>
    <w:rsid w:val="00D22605"/>
    <w:rsid w:val="00D25116"/>
    <w:rsid w:val="00D2740D"/>
    <w:rsid w:val="00D33C57"/>
    <w:rsid w:val="00D34800"/>
    <w:rsid w:val="00D42059"/>
    <w:rsid w:val="00D46178"/>
    <w:rsid w:val="00D47B6E"/>
    <w:rsid w:val="00D66072"/>
    <w:rsid w:val="00D67207"/>
    <w:rsid w:val="00D73D08"/>
    <w:rsid w:val="00D74992"/>
    <w:rsid w:val="00D83807"/>
    <w:rsid w:val="00D907EA"/>
    <w:rsid w:val="00D9314C"/>
    <w:rsid w:val="00D94772"/>
    <w:rsid w:val="00D969E6"/>
    <w:rsid w:val="00DA31E9"/>
    <w:rsid w:val="00DA4E72"/>
    <w:rsid w:val="00DB12CE"/>
    <w:rsid w:val="00DC3884"/>
    <w:rsid w:val="00DC390B"/>
    <w:rsid w:val="00DC4D5F"/>
    <w:rsid w:val="00DD01BA"/>
    <w:rsid w:val="00DD25F8"/>
    <w:rsid w:val="00DE076E"/>
    <w:rsid w:val="00DE48B8"/>
    <w:rsid w:val="00DF07B4"/>
    <w:rsid w:val="00DF1C77"/>
    <w:rsid w:val="00DF3C91"/>
    <w:rsid w:val="00DF4108"/>
    <w:rsid w:val="00E10A65"/>
    <w:rsid w:val="00E12BA3"/>
    <w:rsid w:val="00E135B9"/>
    <w:rsid w:val="00E2388D"/>
    <w:rsid w:val="00E30758"/>
    <w:rsid w:val="00E31AC2"/>
    <w:rsid w:val="00E32A2C"/>
    <w:rsid w:val="00E3525D"/>
    <w:rsid w:val="00E45B26"/>
    <w:rsid w:val="00E46984"/>
    <w:rsid w:val="00E53A34"/>
    <w:rsid w:val="00E548F0"/>
    <w:rsid w:val="00E55AB5"/>
    <w:rsid w:val="00E60BE9"/>
    <w:rsid w:val="00E61539"/>
    <w:rsid w:val="00E671A6"/>
    <w:rsid w:val="00E87EFA"/>
    <w:rsid w:val="00E87FFC"/>
    <w:rsid w:val="00E93CC2"/>
    <w:rsid w:val="00EA0825"/>
    <w:rsid w:val="00EA1A12"/>
    <w:rsid w:val="00EA60F3"/>
    <w:rsid w:val="00EA74B4"/>
    <w:rsid w:val="00EC339B"/>
    <w:rsid w:val="00EC3C27"/>
    <w:rsid w:val="00EE455A"/>
    <w:rsid w:val="00EE6955"/>
    <w:rsid w:val="00EF0A44"/>
    <w:rsid w:val="00F01218"/>
    <w:rsid w:val="00F167DA"/>
    <w:rsid w:val="00F236DA"/>
    <w:rsid w:val="00F26E0B"/>
    <w:rsid w:val="00F3182D"/>
    <w:rsid w:val="00F32A2D"/>
    <w:rsid w:val="00F37AB9"/>
    <w:rsid w:val="00F40CDC"/>
    <w:rsid w:val="00F40D0C"/>
    <w:rsid w:val="00F440BB"/>
    <w:rsid w:val="00F46643"/>
    <w:rsid w:val="00F541E7"/>
    <w:rsid w:val="00F63C30"/>
    <w:rsid w:val="00F64921"/>
    <w:rsid w:val="00F654F2"/>
    <w:rsid w:val="00F670E2"/>
    <w:rsid w:val="00F77C70"/>
    <w:rsid w:val="00F822F5"/>
    <w:rsid w:val="00F87B9D"/>
    <w:rsid w:val="00F90F7E"/>
    <w:rsid w:val="00F943B7"/>
    <w:rsid w:val="00FA02EC"/>
    <w:rsid w:val="00FA440C"/>
    <w:rsid w:val="00FA664F"/>
    <w:rsid w:val="00FC091D"/>
    <w:rsid w:val="00FC0F5A"/>
    <w:rsid w:val="00FC1941"/>
    <w:rsid w:val="00FC1F8F"/>
    <w:rsid w:val="00FC44C3"/>
    <w:rsid w:val="00FC782B"/>
    <w:rsid w:val="00FD1F05"/>
    <w:rsid w:val="00FD533E"/>
    <w:rsid w:val="00FE036F"/>
    <w:rsid w:val="00FE13DA"/>
    <w:rsid w:val="00FE3831"/>
    <w:rsid w:val="00FE49F5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1B407"/>
  <w15:docId w15:val="{80C3E526-846D-4955-B126-392657E9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color w:val="262626"/>
        <w:kern w:val="3"/>
        <w:sz w:val="22"/>
        <w:szCs w:val="22"/>
        <w:lang w:val="en-US" w:eastAsia="ja-JP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00" w:after="120" w:line="240" w:lineRule="auto"/>
      <w:outlineLvl w:val="0"/>
    </w:pPr>
    <w:rPr>
      <w:rFonts w:eastAsia="MS Gothic"/>
      <w:color w:val="2B7471"/>
      <w:sz w:val="30"/>
    </w:rPr>
  </w:style>
  <w:style w:type="paragraph" w:styleId="Heading2">
    <w:name w:val="heading 2"/>
    <w:basedOn w:val="Normal"/>
    <w:next w:val="Normal"/>
    <w:pPr>
      <w:keepNext/>
      <w:keepLines/>
      <w:spacing w:before="360" w:after="40"/>
      <w:outlineLvl w:val="1"/>
    </w:pPr>
    <w:rPr>
      <w:rFonts w:eastAsia="MS Gothic"/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160" w:after="0"/>
      <w:outlineLvl w:val="2"/>
    </w:pPr>
    <w:rPr>
      <w:rFonts w:eastAsia="MS Gothic"/>
      <w:b/>
      <w:bCs/>
      <w:color w:val="2B7471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eastAsia="MS Gothic"/>
      <w:i/>
      <w:iCs/>
      <w:color w:val="2B7471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rFonts w:eastAsia="MS Gothic"/>
      <w:color w:val="2B747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MS Gothic"/>
      <w:color w:val="2B737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MS Gothic"/>
      <w:i/>
      <w:iCs/>
      <w:color w:val="2B737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eastAsia="MS Gothic"/>
      <w:color w:val="272727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eastAsia="MS Gothic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pPr>
      <w:spacing w:before="720" w:after="180" w:line="240" w:lineRule="auto"/>
      <w:ind w:left="504" w:right="504"/>
    </w:pPr>
    <w:rPr>
      <w:rFonts w:eastAsia="MS Gothic"/>
      <w:color w:val="FFFFFF"/>
      <w:sz w:val="36"/>
      <w:szCs w:val="20"/>
    </w:rPr>
  </w:style>
  <w:style w:type="paragraph" w:styleId="BlockText">
    <w:name w:val="Block Text"/>
    <w:basedOn w:val="Normal"/>
    <w:pPr>
      <w:spacing w:line="249" w:lineRule="auto"/>
      <w:ind w:left="504" w:right="504"/>
    </w:pPr>
    <w:rPr>
      <w:color w:val="FFFFFF"/>
    </w:rPr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Recipient">
    <w:name w:val="Recipient"/>
    <w:basedOn w:val="Normal"/>
    <w:pPr>
      <w:spacing w:after="0" w:line="288" w:lineRule="auto"/>
      <w:ind w:left="4320"/>
    </w:pPr>
    <w:rPr>
      <w:color w:val="595959"/>
    </w:rPr>
  </w:style>
  <w:style w:type="paragraph" w:customStyle="1" w:styleId="ReturnAddress">
    <w:name w:val="Return Address"/>
    <w:basedOn w:val="Normal"/>
    <w:pPr>
      <w:spacing w:after="0" w:line="288" w:lineRule="auto"/>
    </w:pPr>
    <w:rPr>
      <w:color w:val="595959"/>
    </w:rPr>
  </w:style>
  <w:style w:type="paragraph" w:styleId="Title">
    <w:name w:val="Title"/>
    <w:basedOn w:val="Normal"/>
    <w:pPr>
      <w:spacing w:after="60" w:line="228" w:lineRule="auto"/>
    </w:pPr>
    <w:rPr>
      <w:rFonts w:eastAsia="MS Gothic"/>
      <w:b/>
      <w:bCs/>
      <w:color w:val="595959"/>
      <w:sz w:val="60"/>
    </w:rPr>
  </w:style>
  <w:style w:type="character" w:customStyle="1" w:styleId="TitleChar">
    <w:name w:val="Title Char"/>
    <w:basedOn w:val="DefaultParagraphFont"/>
    <w:rPr>
      <w:rFonts w:ascii="Verdana" w:eastAsia="MS Gothic" w:hAnsi="Verdana" w:cs="Times New Roman"/>
      <w:b/>
      <w:bCs/>
      <w:color w:val="595959"/>
      <w:kern w:val="3"/>
      <w:sz w:val="60"/>
    </w:rPr>
  </w:style>
  <w:style w:type="paragraph" w:styleId="Subtitle">
    <w:name w:val="Subtitle"/>
    <w:basedOn w:val="Normal"/>
    <w:pPr>
      <w:spacing w:after="240"/>
    </w:pPr>
    <w:rPr>
      <w:color w:val="2B7471"/>
    </w:rPr>
  </w:style>
  <w:style w:type="character" w:customStyle="1" w:styleId="SubtitleChar">
    <w:name w:val="Subtitle Char"/>
    <w:basedOn w:val="DefaultParagraphFont"/>
    <w:rPr>
      <w:color w:val="2B7471"/>
    </w:rPr>
  </w:style>
  <w:style w:type="character" w:customStyle="1" w:styleId="Heading1Char">
    <w:name w:val="Heading 1 Char"/>
    <w:basedOn w:val="DefaultParagraphFont"/>
    <w:rPr>
      <w:rFonts w:ascii="Verdana" w:eastAsia="MS Gothic" w:hAnsi="Verdana" w:cs="Times New Roman"/>
      <w:color w:val="2B7471"/>
      <w:sz w:val="30"/>
    </w:rPr>
  </w:style>
  <w:style w:type="character" w:customStyle="1" w:styleId="Heading2Char">
    <w:name w:val="Heading 2 Char"/>
    <w:basedOn w:val="DefaultParagraphFont"/>
    <w:rPr>
      <w:rFonts w:ascii="Verdana" w:eastAsia="MS Gothic" w:hAnsi="Verdana" w:cs="Times New Roman"/>
      <w:b/>
      <w:bCs/>
    </w:rPr>
  </w:style>
  <w:style w:type="paragraph" w:styleId="Quote">
    <w:name w:val="Quote"/>
    <w:basedOn w:val="Normal"/>
    <w:pPr>
      <w:pBdr>
        <w:top w:val="single" w:sz="2" w:space="24" w:color="2B7471"/>
        <w:left w:val="single" w:sz="2" w:space="20" w:color="2B7471"/>
        <w:bottom w:val="single" w:sz="2" w:space="24" w:color="2B7471"/>
        <w:right w:val="single" w:sz="2" w:space="20" w:color="2B7471"/>
      </w:pBdr>
      <w:shd w:val="clear" w:color="auto" w:fill="2B7471"/>
      <w:spacing w:after="480"/>
      <w:ind w:left="432" w:right="432"/>
    </w:pPr>
    <w:rPr>
      <w:rFonts w:eastAsia="MS Gothic"/>
      <w:color w:val="FFFFFF"/>
    </w:rPr>
  </w:style>
  <w:style w:type="character" w:customStyle="1" w:styleId="QuoteChar">
    <w:name w:val="Quote Char"/>
    <w:basedOn w:val="DefaultParagraphFont"/>
    <w:rPr>
      <w:rFonts w:ascii="Verdana" w:eastAsia="MS Gothic" w:hAnsi="Verdana" w:cs="Times New Roman"/>
      <w:color w:val="FFFFFF"/>
      <w:shd w:val="clear" w:color="auto" w:fill="2B7471"/>
    </w:rPr>
  </w:style>
  <w:style w:type="paragraph" w:styleId="ListBullet">
    <w:name w:val="List Bullet"/>
    <w:basedOn w:val="Normal"/>
    <w:pPr>
      <w:numPr>
        <w:numId w:val="10"/>
      </w:numPr>
      <w:tabs>
        <w:tab w:val="left" w:pos="-360"/>
      </w:tabs>
      <w:spacing w:after="120"/>
    </w:pPr>
    <w:rPr>
      <w:color w:val="323232"/>
    </w:rPr>
  </w:style>
  <w:style w:type="paragraph" w:customStyle="1" w:styleId="ContactInfo">
    <w:name w:val="Contact Info"/>
    <w:basedOn w:val="Normal"/>
    <w:pPr>
      <w:spacing w:after="0"/>
    </w:pPr>
  </w:style>
  <w:style w:type="paragraph" w:customStyle="1" w:styleId="Website">
    <w:name w:val="Website"/>
    <w:basedOn w:val="Normal"/>
    <w:next w:val="Normal"/>
    <w:pPr>
      <w:spacing w:before="120"/>
    </w:pPr>
    <w:rPr>
      <w:color w:val="2B7471"/>
    </w:rPr>
  </w:style>
  <w:style w:type="character" w:customStyle="1" w:styleId="Heading3Char">
    <w:name w:val="Heading 3 Char"/>
    <w:basedOn w:val="DefaultParagraphFont"/>
    <w:rPr>
      <w:rFonts w:ascii="Verdana" w:eastAsia="MS Gothic" w:hAnsi="Verdana" w:cs="Times New Roman"/>
      <w:b/>
      <w:bCs/>
      <w:color w:val="2B7471"/>
    </w:rPr>
  </w:style>
  <w:style w:type="paragraph" w:styleId="ListNumber">
    <w:name w:val="List Number"/>
    <w:basedOn w:val="Normal"/>
    <w:pPr>
      <w:numPr>
        <w:numId w:val="1"/>
      </w:numPr>
      <w:tabs>
        <w:tab w:val="left" w:pos="-360"/>
      </w:tabs>
      <w:spacing w:after="120"/>
    </w:pPr>
  </w:style>
  <w:style w:type="character" w:customStyle="1" w:styleId="Heading4Char">
    <w:name w:val="Heading 4 Char"/>
    <w:basedOn w:val="DefaultParagraphFont"/>
    <w:rPr>
      <w:rFonts w:ascii="Verdana" w:eastAsia="MS Gothic" w:hAnsi="Verdana" w:cs="Times New Roman"/>
      <w:i/>
      <w:iCs/>
      <w:color w:val="2B7471"/>
    </w:rPr>
  </w:style>
  <w:style w:type="character" w:customStyle="1" w:styleId="Heading5Char">
    <w:name w:val="Heading 5 Char"/>
    <w:basedOn w:val="DefaultParagraphFont"/>
    <w:rPr>
      <w:rFonts w:ascii="Verdana" w:eastAsia="MS Gothic" w:hAnsi="Verdana" w:cs="Times New Roman"/>
      <w:color w:val="2B7471"/>
    </w:rPr>
  </w:style>
  <w:style w:type="character" w:customStyle="1" w:styleId="Heading6Char">
    <w:name w:val="Heading 6 Char"/>
    <w:basedOn w:val="DefaultParagraphFont"/>
    <w:rPr>
      <w:rFonts w:ascii="Verdana" w:eastAsia="MS Gothic" w:hAnsi="Verdana" w:cs="Times New Roman"/>
      <w:color w:val="2B7370"/>
    </w:rPr>
  </w:style>
  <w:style w:type="character" w:styleId="IntenseEmphasis">
    <w:name w:val="Intense Emphasis"/>
    <w:basedOn w:val="DefaultParagraphFont"/>
    <w:rPr>
      <w:i/>
      <w:iCs/>
      <w:color w:val="2B7471"/>
    </w:rPr>
  </w:style>
  <w:style w:type="paragraph" w:styleId="IntenseQuote">
    <w:name w:val="Intense Quote"/>
    <w:basedOn w:val="Normal"/>
    <w:next w:val="Normal"/>
    <w:pPr>
      <w:spacing w:before="360" w:after="360"/>
    </w:pPr>
    <w:rPr>
      <w:i/>
      <w:iCs/>
      <w:color w:val="2B7471"/>
    </w:rPr>
  </w:style>
  <w:style w:type="character" w:customStyle="1" w:styleId="IntenseQuoteChar">
    <w:name w:val="Intense Quote Char"/>
    <w:basedOn w:val="DefaultParagraphFont"/>
    <w:rPr>
      <w:i/>
      <w:iCs/>
      <w:color w:val="2B7471"/>
    </w:rPr>
  </w:style>
  <w:style w:type="character" w:styleId="IntenseReference">
    <w:name w:val="Intense Reference"/>
    <w:basedOn w:val="DefaultParagraphFont"/>
    <w:rPr>
      <w:b/>
      <w:bCs/>
      <w:color w:val="2B7471"/>
      <w:spacing w:val="5"/>
    </w:rPr>
  </w:style>
  <w:style w:type="paragraph" w:styleId="TOCHeading">
    <w:name w:val="TOC Heading"/>
    <w:basedOn w:val="Heading1"/>
    <w:next w:val="Normal"/>
    <w:pPr>
      <w:spacing w:before="240" w:after="0" w:line="276" w:lineRule="auto"/>
    </w:pPr>
    <w:rPr>
      <w:sz w:val="32"/>
      <w:szCs w:val="32"/>
    </w:rPr>
  </w:style>
  <w:style w:type="paragraph" w:styleId="Bibliography">
    <w:name w:val="Bibliography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</w:style>
  <w:style w:type="paragraph" w:styleId="BodyText3">
    <w:name w:val="Body Text 3"/>
    <w:basedOn w:val="Normal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rPr>
      <w:szCs w:val="16"/>
    </w:rPr>
  </w:style>
  <w:style w:type="paragraph" w:styleId="BodyTextFirstIndent">
    <w:name w:val="Body Text First Indent"/>
    <w:basedOn w:val="BodyText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BodyTextIndentChar">
    <w:name w:val="Body Text Indent Char"/>
    <w:basedOn w:val="DefaultParagraphFont"/>
  </w:style>
  <w:style w:type="paragraph" w:styleId="BodyTextFirstIndent2">
    <w:name w:val="Body Text First Indent 2"/>
    <w:basedOn w:val="BodyTextIndent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rPr>
      <w:szCs w:val="16"/>
    </w:r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2323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rPr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Cs w:val="20"/>
    </w:rPr>
  </w:style>
  <w:style w:type="paragraph" w:styleId="Date">
    <w:name w:val="Date"/>
    <w:basedOn w:val="Normal"/>
    <w:next w:val="Normal"/>
  </w:style>
  <w:style w:type="character" w:customStyle="1" w:styleId="DateChar">
    <w:name w:val="Date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rPr>
      <w:rFonts w:ascii="Segoe UI" w:hAnsi="Segoe UI" w:cs="Segoe UI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customStyle="1" w:styleId="E-mailSignatureChar">
    <w:name w:val="E-mail Signature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rPr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  <w:rPr>
      <w:rFonts w:eastAsia="MS Gothic"/>
      <w:sz w:val="24"/>
      <w:szCs w:val="24"/>
    </w:rPr>
  </w:style>
  <w:style w:type="paragraph" w:styleId="EnvelopeReturn">
    <w:name w:val="envelope return"/>
    <w:basedOn w:val="Normal"/>
    <w:pPr>
      <w:spacing w:after="0" w:line="240" w:lineRule="auto"/>
    </w:pPr>
    <w:rPr>
      <w:rFonts w:eastAsia="MS Gothic"/>
      <w:szCs w:val="20"/>
    </w:rPr>
  </w:style>
  <w:style w:type="character" w:styleId="FollowedHyperlink">
    <w:name w:val="FollowedHyperlink"/>
    <w:basedOn w:val="DefaultParagraphFont"/>
    <w:rPr>
      <w:color w:val="68538F"/>
      <w:u w:val="single"/>
    </w:rPr>
  </w:style>
  <w:style w:type="paragraph" w:styleId="Footer">
    <w:name w:val="footer"/>
    <w:basedOn w:val="Normal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rPr>
      <w:szCs w:val="20"/>
    </w:rPr>
  </w:style>
  <w:style w:type="paragraph" w:styleId="Header">
    <w:name w:val="header"/>
    <w:basedOn w:val="Normal"/>
    <w:pPr>
      <w:spacing w:after="0" w:line="240" w:lineRule="auto"/>
    </w:pPr>
  </w:style>
  <w:style w:type="character" w:customStyle="1" w:styleId="HeaderChar">
    <w:name w:val="Header Char"/>
    <w:basedOn w:val="DefaultParagraphFont"/>
  </w:style>
  <w:style w:type="character" w:customStyle="1" w:styleId="Heading7Char">
    <w:name w:val="Heading 7 Char"/>
    <w:basedOn w:val="DefaultParagraphFont"/>
    <w:rPr>
      <w:rFonts w:ascii="Verdana" w:eastAsia="MS Gothic" w:hAnsi="Verdana" w:cs="Times New Roman"/>
      <w:i/>
      <w:iCs/>
      <w:color w:val="2B7370"/>
    </w:rPr>
  </w:style>
  <w:style w:type="character" w:customStyle="1" w:styleId="Heading8Char">
    <w:name w:val="Heading 8 Char"/>
    <w:basedOn w:val="DefaultParagraphFont"/>
    <w:rPr>
      <w:rFonts w:ascii="Verdana" w:eastAsia="MS Gothic" w:hAnsi="Verdana" w:cs="Times New Roman"/>
      <w:color w:val="272727"/>
      <w:szCs w:val="21"/>
    </w:rPr>
  </w:style>
  <w:style w:type="character" w:customStyle="1" w:styleId="Heading9Char">
    <w:name w:val="Heading 9 Char"/>
    <w:basedOn w:val="DefaultParagraphFont"/>
    <w:rPr>
      <w:rFonts w:ascii="Verdana" w:eastAsia="MS Gothic" w:hAnsi="Verdana" w:cs="Times New Roman"/>
      <w:i/>
      <w:iCs/>
      <w:color w:val="272727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2B747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rPr>
      <w:rFonts w:eastAsia="MS Gothic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rPr>
      <w:rFonts w:ascii="Consolas" w:hAnsi="Consolas"/>
      <w:szCs w:val="20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ind w:left="1080" w:hanging="1080"/>
    </w:pPr>
    <w:rPr>
      <w:rFonts w:eastAsia="MS Gothic"/>
      <w:sz w:val="24"/>
      <w:szCs w:val="24"/>
    </w:rPr>
  </w:style>
  <w:style w:type="character" w:customStyle="1" w:styleId="MessageHeaderChar">
    <w:name w:val="Message Header Char"/>
    <w:basedOn w:val="DefaultParagraphFont"/>
    <w:rPr>
      <w:rFonts w:ascii="Verdana" w:eastAsia="MS Gothic" w:hAnsi="Verdana" w:cs="Times New Roman"/>
      <w:sz w:val="24"/>
      <w:szCs w:val="24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customStyle="1" w:styleId="NoteHeadingChar">
    <w:name w:val="Note Heading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Cs w:val="21"/>
    </w:rPr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rFonts w:eastAsia="MS Gothic"/>
      <w:b/>
      <w:bCs/>
      <w:sz w:val="24"/>
      <w:szCs w:val="24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TOC4">
    <w:name w:val="toc 4"/>
    <w:basedOn w:val="Normal"/>
    <w:next w:val="Normal"/>
    <w:autoRedefine/>
    <w:pPr>
      <w:spacing w:after="100"/>
      <w:ind w:left="660"/>
    </w:pPr>
  </w:style>
  <w:style w:type="paragraph" w:styleId="TOC5">
    <w:name w:val="toc 5"/>
    <w:basedOn w:val="Normal"/>
    <w:next w:val="Normal"/>
    <w:autoRedefine/>
    <w:pPr>
      <w:spacing w:after="100"/>
      <w:ind w:left="880"/>
    </w:pPr>
  </w:style>
  <w:style w:type="paragraph" w:styleId="TOC6">
    <w:name w:val="toc 6"/>
    <w:basedOn w:val="Normal"/>
    <w:next w:val="Normal"/>
    <w:autoRedefine/>
    <w:pPr>
      <w:spacing w:after="100"/>
      <w:ind w:left="1100"/>
    </w:pPr>
  </w:style>
  <w:style w:type="paragraph" w:styleId="TOC7">
    <w:name w:val="toc 7"/>
    <w:basedOn w:val="Normal"/>
    <w:next w:val="Normal"/>
    <w:autoRedefine/>
    <w:pPr>
      <w:spacing w:after="100"/>
      <w:ind w:left="1320"/>
    </w:pPr>
  </w:style>
  <w:style w:type="paragraph" w:styleId="TOC8">
    <w:name w:val="toc 8"/>
    <w:basedOn w:val="Normal"/>
    <w:next w:val="Normal"/>
    <w:autoRedefine/>
    <w:pPr>
      <w:spacing w:after="100"/>
      <w:ind w:left="1540"/>
    </w:pPr>
  </w:style>
  <w:style w:type="paragraph" w:styleId="TOC9">
    <w:name w:val="toc 9"/>
    <w:basedOn w:val="Normal"/>
    <w:next w:val="Normal"/>
    <w:autoRedefine/>
    <w:pPr>
      <w:spacing w:after="100"/>
      <w:ind w:left="1760"/>
    </w:pPr>
  </w:style>
  <w:style w:type="numbering" w:customStyle="1" w:styleId="LFO4">
    <w:name w:val="LFO4"/>
    <w:basedOn w:val="NoList"/>
    <w:pPr>
      <w:numPr>
        <w:numId w:val="1"/>
      </w:numPr>
    </w:pPr>
  </w:style>
  <w:style w:type="numbering" w:customStyle="1" w:styleId="LFO6">
    <w:name w:val="LFO6"/>
    <w:basedOn w:val="NoList"/>
    <w:pPr>
      <w:numPr>
        <w:numId w:val="2"/>
      </w:numPr>
    </w:pPr>
  </w:style>
  <w:style w:type="numbering" w:customStyle="1" w:styleId="LFO7">
    <w:name w:val="LFO7"/>
    <w:basedOn w:val="NoList"/>
    <w:pPr>
      <w:numPr>
        <w:numId w:val="3"/>
      </w:numPr>
    </w:pPr>
  </w:style>
  <w:style w:type="numbering" w:customStyle="1" w:styleId="LFO8">
    <w:name w:val="LFO8"/>
    <w:basedOn w:val="NoList"/>
    <w:pPr>
      <w:numPr>
        <w:numId w:val="4"/>
      </w:numPr>
    </w:pPr>
  </w:style>
  <w:style w:type="numbering" w:customStyle="1" w:styleId="LFO9">
    <w:name w:val="LFO9"/>
    <w:basedOn w:val="NoList"/>
    <w:pPr>
      <w:numPr>
        <w:numId w:val="5"/>
      </w:numPr>
    </w:pPr>
  </w:style>
  <w:style w:type="numbering" w:customStyle="1" w:styleId="LFO10">
    <w:name w:val="LFO10"/>
    <w:basedOn w:val="NoList"/>
    <w:pPr>
      <w:numPr>
        <w:numId w:val="6"/>
      </w:numPr>
    </w:pPr>
  </w:style>
  <w:style w:type="numbering" w:customStyle="1" w:styleId="LFO11">
    <w:name w:val="LFO11"/>
    <w:basedOn w:val="NoList"/>
    <w:pPr>
      <w:numPr>
        <w:numId w:val="7"/>
      </w:numPr>
    </w:pPr>
  </w:style>
  <w:style w:type="numbering" w:customStyle="1" w:styleId="LFO12">
    <w:name w:val="LFO12"/>
    <w:basedOn w:val="NoList"/>
    <w:pPr>
      <w:numPr>
        <w:numId w:val="8"/>
      </w:numPr>
    </w:pPr>
  </w:style>
  <w:style w:type="numbering" w:customStyle="1" w:styleId="LFO13">
    <w:name w:val="LFO13"/>
    <w:basedOn w:val="NoList"/>
    <w:pPr>
      <w:numPr>
        <w:numId w:val="9"/>
      </w:numPr>
    </w:pPr>
  </w:style>
  <w:style w:type="numbering" w:customStyle="1" w:styleId="LFO14">
    <w:name w:val="LFO14"/>
    <w:basedOn w:val="NoList"/>
    <w:pPr>
      <w:numPr>
        <w:numId w:val="10"/>
      </w:numPr>
    </w:pPr>
  </w:style>
  <w:style w:type="paragraph" w:styleId="Revision">
    <w:name w:val="Revision"/>
    <w:hidden/>
    <w:uiPriority w:val="99"/>
    <w:semiHidden/>
    <w:rsid w:val="00025EBF"/>
    <w:pPr>
      <w:autoSpaceDN/>
      <w:spacing w:after="0" w:line="240" w:lineRule="auto"/>
      <w:textAlignment w:val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4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41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y.hancock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108D-63C5-4F84-8F4B-62246383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2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Hancock</dc:creator>
  <cp:lastModifiedBy>Sharon Money</cp:lastModifiedBy>
  <cp:revision>3</cp:revision>
  <cp:lastPrinted>2018-05-09T10:13:00Z</cp:lastPrinted>
  <dcterms:created xsi:type="dcterms:W3CDTF">2022-03-28T08:51:00Z</dcterms:created>
  <dcterms:modified xsi:type="dcterms:W3CDTF">2022-03-28T09:03:00Z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